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body>
    <w:p w:rsidR="00DC5C14" w:rsidP="00707406" w:rsidRDefault="00000000" w14:paraId="6A7C7E90" w14:textId="77777777">
      <w:pPr>
        <w:spacing w:after="280" w:line="240" w:lineRule="auto"/>
        <w:jc w:val="center"/>
        <w:rPr>
          <w:sz w:val="36"/>
          <w:szCs w:val="36"/>
        </w:rPr>
      </w:pPr>
      <w:r>
        <w:rPr>
          <w:noProof/>
        </w:rPr>
        <w:drawing>
          <wp:inline distT="0" distB="0" distL="0" distR="0" wp14:anchorId="10C3F58C" wp14:editId="48AFC4FD">
            <wp:extent cx="3058148" cy="972728"/>
            <wp:effectExtent l="0" t="0" r="0" b="0"/>
            <wp:docPr id="1310436869" name="image1.jpg" descr="Afbeelding met tekst, symbool, Lettertype, logo&#10;&#10;Door AI gegenereerde inhoud is mogelijk onjuist."/>
            <wp:cNvGraphicFramePr/>
            <a:graphic xmlns:a="http://schemas.openxmlformats.org/drawingml/2006/main">
              <a:graphicData uri="http://schemas.openxmlformats.org/drawingml/2006/picture">
                <pic:pic xmlns:pic="http://schemas.openxmlformats.org/drawingml/2006/picture">
                  <pic:nvPicPr>
                    <pic:cNvPr id="0" name="image1.jpg" descr="Afbeelding met tekst, symbool, Lettertype, logo&#10;&#10;Door AI gegenereerde inhoud is mogelijk onjuist."/>
                    <pic:cNvPicPr preferRelativeResize="0"/>
                  </pic:nvPicPr>
                  <pic:blipFill>
                    <a:blip r:embed="rId6"/>
                    <a:srcRect/>
                    <a:stretch>
                      <a:fillRect/>
                    </a:stretch>
                  </pic:blipFill>
                  <pic:spPr>
                    <a:xfrm>
                      <a:off x="0" y="0"/>
                      <a:ext cx="3058148" cy="972728"/>
                    </a:xfrm>
                    <a:prstGeom prst="rect">
                      <a:avLst/>
                    </a:prstGeom>
                    <a:ln/>
                  </pic:spPr>
                </pic:pic>
              </a:graphicData>
            </a:graphic>
          </wp:inline>
        </w:drawing>
      </w:r>
    </w:p>
    <w:p w:rsidR="00DC5C14" w:rsidRDefault="00000000" w14:paraId="451056C5" w14:textId="77777777">
      <w:pPr>
        <w:pStyle w:val="Heading1"/>
        <w:jc w:val="center"/>
        <w:rPr>
          <w:b/>
        </w:rPr>
      </w:pPr>
      <w:r>
        <w:rPr>
          <w:b/>
        </w:rPr>
        <w:t>Nexus Funding Facility (NFF)- Overview and Frequently Asked Questions</w:t>
      </w:r>
    </w:p>
    <w:p w:rsidR="00DC5C14" w:rsidRDefault="00DC5C14" w14:paraId="1EDD9218" w14:textId="77777777"/>
    <w:p w:rsidR="00DC5C14" w:rsidRDefault="00000000" w14:paraId="353A63FB" w14:textId="77777777">
      <w:pPr>
        <w:spacing w:before="280" w:after="280" w:line="276" w:lineRule="auto"/>
        <w:rPr>
          <w:b/>
          <w:sz w:val="36"/>
          <w:szCs w:val="36"/>
        </w:rPr>
      </w:pPr>
      <w:r>
        <w:rPr>
          <w:b/>
          <w:sz w:val="36"/>
          <w:szCs w:val="36"/>
        </w:rPr>
        <w:t>Nexus Funding Facility (NFF)</w:t>
      </w:r>
    </w:p>
    <w:p w:rsidR="00DC5C14" w:rsidRDefault="00000000" w14:paraId="1C1A760B" w14:textId="77777777">
      <w:pPr>
        <w:spacing w:before="280" w:after="280" w:line="276" w:lineRule="auto"/>
      </w:pPr>
      <w:r w:rsidRPr="2EBC3EE1" w:rsidR="2EBC3EE1">
        <w:rPr>
          <w:lang w:val="en-US"/>
        </w:rPr>
        <w:t xml:space="preserve">The Nexus Funding Facility (NFF) is a regional, multi-donor financing mechanism designed to operationalize the Humanitarian–Development–Peace (HDP) Nexus in the Lake Chad Basin region. Administered by UNDP and supported by multiple partners, the NFF provides catalytic funding to projects that reduce humanitarian need while addressing the root causes of fragility, displacement, and underdevelopment. And is part of </w:t>
      </w:r>
      <w:r w:rsidRPr="2EBC3EE1" w:rsidR="2EBC3EE1">
        <w:rPr>
          <w:lang w:val="en-US"/>
        </w:rPr>
        <w:t>component</w:t>
      </w:r>
      <w:r w:rsidRPr="2EBC3EE1" w:rsidR="2EBC3EE1">
        <w:rPr>
          <w:lang w:val="en-US"/>
        </w:rPr>
        <w:t xml:space="preserve"> three of the </w:t>
      </w:r>
      <w:hyperlink r:id="R524abb627cf049aa">
        <w:r w:rsidRPr="2EBC3EE1" w:rsidR="2EBC3EE1">
          <w:rPr>
            <w:color w:val="0000FF"/>
            <w:u w:val="single"/>
            <w:lang w:val="en-US"/>
          </w:rPr>
          <w:t>Special Multi-Partner Delivery Fund (SMDF)</w:t>
        </w:r>
      </w:hyperlink>
      <w:r w:rsidRPr="2EBC3EE1" w:rsidR="2EBC3EE1">
        <w:rPr>
          <w:lang w:val="en-US"/>
        </w:rPr>
        <w:t>.</w:t>
      </w:r>
    </w:p>
    <w:p w:rsidR="00DC5C14" w:rsidRDefault="00000000" w14:paraId="3E2F4004" w14:textId="77777777">
      <w:pPr>
        <w:spacing w:before="280" w:after="280" w:line="276" w:lineRule="auto"/>
      </w:pPr>
      <w:r w:rsidRPr="2EBC3EE1" w:rsidR="2EBC3EE1">
        <w:rPr>
          <w:lang w:val="en-US"/>
        </w:rPr>
        <w:t xml:space="preserve">The Facility promotes local leadership, cross-border collaboration, and integrated, area-based approaches. Its </w:t>
      </w:r>
      <w:r w:rsidRPr="2EBC3EE1" w:rsidR="2EBC3EE1">
        <w:rPr>
          <w:lang w:val="en-US"/>
        </w:rPr>
        <w:t>objective</w:t>
      </w:r>
      <w:r w:rsidRPr="2EBC3EE1" w:rsidR="2EBC3EE1">
        <w:rPr>
          <w:lang w:val="en-US"/>
        </w:rPr>
        <w:t xml:space="preserve"> is to support long-term, sustainable solutions that strengthen resilience and foster stability across communities in Cameroon, Chad, Niger, and Nigeria.</w:t>
      </w:r>
    </w:p>
    <w:p w:rsidR="00DC5C14" w:rsidRDefault="00000000" w14:paraId="35B79FE3" w14:textId="77777777">
      <w:pPr>
        <w:spacing w:before="280" w:after="280" w:line="276" w:lineRule="auto"/>
        <w:rPr>
          <w:b/>
          <w:sz w:val="36"/>
          <w:szCs w:val="36"/>
        </w:rPr>
      </w:pPr>
      <w:r>
        <w:rPr>
          <w:b/>
          <w:sz w:val="36"/>
          <w:szCs w:val="36"/>
        </w:rPr>
        <w:t>What We Fund</w:t>
      </w:r>
    </w:p>
    <w:p w:rsidR="00DC5C14" w:rsidRDefault="00000000" w14:paraId="607D9769" w14:textId="77777777">
      <w:pPr>
        <w:spacing w:before="280" w:after="280" w:line="276" w:lineRule="auto"/>
      </w:pPr>
      <w:r>
        <w:t>The NFF supports initiatives that advance the Humanitarian–Development–Peace (HDP) Nexus, with a focus on:</w:t>
      </w:r>
    </w:p>
    <w:p w:rsidR="00DC5C14" w:rsidRDefault="00000000" w14:paraId="4D269014" w14:textId="77777777">
      <w:pPr>
        <w:numPr>
          <w:ilvl w:val="0"/>
          <w:numId w:val="3"/>
        </w:numPr>
        <w:spacing w:before="280" w:after="0" w:line="276" w:lineRule="auto"/>
      </w:pPr>
      <w:r>
        <w:t>Area-based and cross-border projects that address interconnected drivers of crisis and vulnerability</w:t>
      </w:r>
    </w:p>
    <w:p w:rsidR="00DC5C14" w:rsidRDefault="00000000" w14:paraId="5B722F8C" w14:textId="77777777">
      <w:pPr>
        <w:numPr>
          <w:ilvl w:val="0"/>
          <w:numId w:val="3"/>
        </w:numPr>
        <w:spacing w:after="0" w:line="276" w:lineRule="auto"/>
      </w:pPr>
      <w:r>
        <w:t>Consortium-led programming involving both local and international actors</w:t>
      </w:r>
    </w:p>
    <w:p w:rsidR="00DC5C14" w:rsidRDefault="00000000" w14:paraId="4696F75C" w14:textId="77777777">
      <w:pPr>
        <w:numPr>
          <w:ilvl w:val="0"/>
          <w:numId w:val="3"/>
        </w:numPr>
        <w:spacing w:after="280" w:line="276" w:lineRule="auto"/>
      </w:pPr>
      <w:r>
        <w:t>People-centered, adaptive approaches aligned with nationally validated Nexus priorities</w:t>
      </w:r>
    </w:p>
    <w:p w:rsidR="00DC5C14" w:rsidRDefault="00000000" w14:paraId="289C54AC" w14:textId="77777777">
      <w:pPr>
        <w:spacing w:before="280" w:after="280" w:line="276" w:lineRule="auto"/>
      </w:pPr>
      <w:r w:rsidRPr="2EBC3EE1" w:rsidR="2EBC3EE1">
        <w:rPr>
          <w:lang w:val="en-US"/>
        </w:rPr>
        <w:t xml:space="preserve">All projects must </w:t>
      </w:r>
      <w:r w:rsidRPr="2EBC3EE1" w:rsidR="2EBC3EE1">
        <w:rPr>
          <w:lang w:val="en-US"/>
        </w:rPr>
        <w:t>demonstrate</w:t>
      </w:r>
      <w:r w:rsidRPr="2EBC3EE1" w:rsidR="2EBC3EE1">
        <w:rPr>
          <w:lang w:val="en-US"/>
        </w:rPr>
        <w:t xml:space="preserve"> a strong commitment to:</w:t>
      </w:r>
    </w:p>
    <w:p w:rsidR="00DC5C14" w:rsidRDefault="00000000" w14:paraId="10691292" w14:textId="77777777">
      <w:pPr>
        <w:numPr>
          <w:ilvl w:val="0"/>
          <w:numId w:val="4"/>
        </w:numPr>
        <w:spacing w:before="280" w:after="0" w:line="276" w:lineRule="auto"/>
      </w:pPr>
      <w:r>
        <w:t>Localization</w:t>
      </w:r>
    </w:p>
    <w:p w:rsidR="00DC5C14" w:rsidRDefault="00000000" w14:paraId="29FA147A" w14:textId="77777777">
      <w:pPr>
        <w:numPr>
          <w:ilvl w:val="0"/>
          <w:numId w:val="4"/>
        </w:numPr>
        <w:spacing w:after="0" w:line="276" w:lineRule="auto"/>
      </w:pPr>
      <w:r>
        <w:t>Conflict sensitivity</w:t>
      </w:r>
    </w:p>
    <w:p w:rsidR="00DC5C14" w:rsidRDefault="00000000" w14:paraId="79F050F4" w14:textId="77777777">
      <w:pPr>
        <w:numPr>
          <w:ilvl w:val="0"/>
          <w:numId w:val="4"/>
        </w:numPr>
        <w:spacing w:after="0" w:line="276" w:lineRule="auto"/>
      </w:pPr>
      <w:r>
        <w:t>Gender equality and social inclusion</w:t>
      </w:r>
    </w:p>
    <w:p w:rsidR="00DC5C14" w:rsidRDefault="00000000" w14:paraId="135E892B" w14:textId="77777777">
      <w:pPr>
        <w:numPr>
          <w:ilvl w:val="0"/>
          <w:numId w:val="4"/>
        </w:numPr>
        <w:spacing w:after="280" w:line="276" w:lineRule="auto"/>
      </w:pPr>
      <w:r>
        <w:t>Do-No-Harm principles</w:t>
      </w:r>
    </w:p>
    <w:p w:rsidR="00DC5C14" w:rsidRDefault="00000000" w14:paraId="2CC0F916" w14:textId="77777777">
      <w:pPr>
        <w:spacing w:before="280" w:after="280" w:line="276" w:lineRule="auto"/>
        <w:rPr>
          <w:b/>
          <w:sz w:val="36"/>
          <w:szCs w:val="36"/>
        </w:rPr>
      </w:pPr>
      <w:r>
        <w:rPr>
          <w:b/>
          <w:sz w:val="36"/>
          <w:szCs w:val="36"/>
        </w:rPr>
        <w:t>Country Priorities (2025–2026)</w:t>
      </w:r>
    </w:p>
    <w:p w:rsidR="00DC5C14" w:rsidP="2EBC3EE1" w:rsidRDefault="00000000" w14:paraId="022078E5" w14:textId="77777777">
      <w:pPr>
        <w:pBdr>
          <w:top w:val="nil" w:color="FF000000" w:sz="0" w:space="0"/>
          <w:left w:val="nil" w:color="FF000000" w:sz="0" w:space="0"/>
          <w:bottom w:val="nil" w:color="FF000000" w:sz="0" w:space="0"/>
          <w:right w:val="nil" w:color="FF000000" w:sz="0" w:space="0"/>
          <w:between w:val="nil" w:color="FF000000" w:sz="0" w:space="0"/>
        </w:pBdr>
        <w:spacing w:before="280" w:after="280" w:line="276" w:lineRule="auto"/>
        <w:rPr>
          <w:color w:val="000000"/>
          <w:lang w:val="en-US"/>
        </w:rPr>
      </w:pPr>
      <w:r w:rsidRPr="2EBC3EE1" w:rsidR="2EBC3EE1">
        <w:rPr>
          <w:color w:val="000000" w:themeColor="text1" w:themeTint="FF" w:themeShade="FF"/>
          <w:lang w:val="en-US"/>
        </w:rPr>
        <w:t xml:space="preserve">The national priorities of Cameroon and Chad have been defined by their respective National Nexus Task Forces (NNTFs) through a consultative and inclusive process involving local authorities, government representatives, civil society organizations, and international partners. These priorities were </w:t>
      </w:r>
      <w:r w:rsidRPr="2EBC3EE1" w:rsidR="2EBC3EE1">
        <w:rPr>
          <w:color w:val="000000" w:themeColor="text1" w:themeTint="FF" w:themeShade="FF"/>
          <w:lang w:val="en-US"/>
        </w:rPr>
        <w:t>consolidated</w:t>
      </w:r>
      <w:r w:rsidRPr="2EBC3EE1" w:rsidR="2EBC3EE1">
        <w:rPr>
          <w:color w:val="000000" w:themeColor="text1" w:themeTint="FF" w:themeShade="FF"/>
          <w:lang w:val="en-US"/>
        </w:rPr>
        <w:t xml:space="preserve"> and </w:t>
      </w:r>
      <w:r w:rsidRPr="2EBC3EE1" w:rsidR="2EBC3EE1">
        <w:rPr>
          <w:color w:val="000000" w:themeColor="text1" w:themeTint="FF" w:themeShade="FF"/>
          <w:lang w:val="en-US"/>
        </w:rPr>
        <w:t>validated</w:t>
      </w:r>
      <w:r w:rsidRPr="2EBC3EE1" w:rsidR="2EBC3EE1">
        <w:rPr>
          <w:color w:val="000000" w:themeColor="text1" w:themeTint="FF" w:themeShade="FF"/>
          <w:lang w:val="en-US"/>
        </w:rPr>
        <w:t xml:space="preserve"> through a series of multi-stakeholder consultation and validation workshops held in both countries in 2025.</w:t>
      </w:r>
    </w:p>
    <w:p w:rsidR="00DC5C14" w:rsidRDefault="00000000" w14:paraId="32CA89A3" w14:textId="77777777">
      <w:pPr>
        <w:pBdr>
          <w:top w:val="nil"/>
          <w:left w:val="nil"/>
          <w:bottom w:val="nil"/>
          <w:right w:val="nil"/>
          <w:between w:val="nil"/>
        </w:pBdr>
        <w:spacing w:before="280" w:after="280" w:line="276" w:lineRule="auto"/>
        <w:rPr>
          <w:color w:val="000000"/>
        </w:rPr>
      </w:pPr>
      <w:r>
        <w:rPr>
          <w:b/>
          <w:color w:val="000000"/>
        </w:rPr>
        <w:t>Cameroon</w:t>
      </w:r>
      <w:r>
        <w:rPr>
          <w:color w:val="000000"/>
        </w:rPr>
        <w:br/>
      </w:r>
      <w:r>
        <w:rPr>
          <w:color w:val="000000"/>
        </w:rPr>
        <w:t>The NFF focuses on strengthening community resilience, peace, and inclusion through integrated efforts in the following thematic areas:</w:t>
      </w:r>
    </w:p>
    <w:p w:rsidR="00DC5C14" w:rsidRDefault="00000000" w14:paraId="1F0EFEA5" w14:textId="77777777">
      <w:pPr>
        <w:numPr>
          <w:ilvl w:val="0"/>
          <w:numId w:val="5"/>
        </w:numPr>
        <w:pBdr>
          <w:top w:val="nil"/>
          <w:left w:val="nil"/>
          <w:bottom w:val="nil"/>
          <w:right w:val="nil"/>
          <w:between w:val="nil"/>
        </w:pBdr>
        <w:spacing w:before="280" w:after="0" w:line="276" w:lineRule="auto"/>
        <w:rPr>
          <w:color w:val="000000"/>
        </w:rPr>
      </w:pPr>
      <w:r>
        <w:rPr>
          <w:color w:val="000000"/>
        </w:rPr>
        <w:t>Sustainable livelihoods and food &amp; nutrition security</w:t>
      </w:r>
    </w:p>
    <w:p w:rsidR="00DC5C14" w:rsidRDefault="00000000" w14:paraId="1D4BD4EA" w14:textId="77777777">
      <w:pPr>
        <w:numPr>
          <w:ilvl w:val="0"/>
          <w:numId w:val="5"/>
        </w:numPr>
        <w:pBdr>
          <w:top w:val="nil"/>
          <w:left w:val="nil"/>
          <w:bottom w:val="nil"/>
          <w:right w:val="nil"/>
          <w:between w:val="nil"/>
        </w:pBdr>
        <w:spacing w:after="0" w:line="276" w:lineRule="auto"/>
        <w:rPr>
          <w:color w:val="000000"/>
        </w:rPr>
      </w:pPr>
      <w:r>
        <w:rPr>
          <w:color w:val="000000"/>
        </w:rPr>
        <w:t>Inclusive and durable basic social services</w:t>
      </w:r>
    </w:p>
    <w:p w:rsidR="00DC5C14" w:rsidRDefault="00000000" w14:paraId="0133C7BD" w14:textId="77777777">
      <w:pPr>
        <w:numPr>
          <w:ilvl w:val="0"/>
          <w:numId w:val="5"/>
        </w:numPr>
        <w:pBdr>
          <w:top w:val="nil"/>
          <w:left w:val="nil"/>
          <w:bottom w:val="nil"/>
          <w:right w:val="nil"/>
          <w:between w:val="nil"/>
        </w:pBdr>
        <w:spacing w:after="0" w:line="276" w:lineRule="auto"/>
        <w:rPr>
          <w:color w:val="000000"/>
        </w:rPr>
      </w:pPr>
      <w:r>
        <w:rPr>
          <w:color w:val="000000"/>
        </w:rPr>
        <w:t>Social cohesion, peacebuilding, and community stabilization</w:t>
      </w:r>
    </w:p>
    <w:p w:rsidR="00DC5C14" w:rsidRDefault="00000000" w14:paraId="3A825003" w14:textId="77777777">
      <w:pPr>
        <w:numPr>
          <w:ilvl w:val="0"/>
          <w:numId w:val="5"/>
        </w:numPr>
        <w:pBdr>
          <w:top w:val="nil"/>
          <w:left w:val="nil"/>
          <w:bottom w:val="nil"/>
          <w:right w:val="nil"/>
          <w:between w:val="nil"/>
        </w:pBdr>
        <w:spacing w:after="0" w:line="276" w:lineRule="auto"/>
        <w:rPr>
          <w:color w:val="000000"/>
        </w:rPr>
      </w:pPr>
      <w:r>
        <w:rPr>
          <w:color w:val="000000"/>
        </w:rPr>
        <w:t>Climate resilience and natural resource governance</w:t>
      </w:r>
    </w:p>
    <w:p w:rsidR="00DC5C14" w:rsidRDefault="00000000" w14:paraId="34445F54" w14:textId="77777777">
      <w:pPr>
        <w:numPr>
          <w:ilvl w:val="0"/>
          <w:numId w:val="5"/>
        </w:numPr>
        <w:pBdr>
          <w:top w:val="nil"/>
          <w:left w:val="nil"/>
          <w:bottom w:val="nil"/>
          <w:right w:val="nil"/>
          <w:between w:val="nil"/>
        </w:pBdr>
        <w:spacing w:after="280" w:line="276" w:lineRule="auto"/>
        <w:rPr>
          <w:color w:val="000000"/>
        </w:rPr>
      </w:pPr>
      <w:r>
        <w:rPr>
          <w:color w:val="000000"/>
        </w:rPr>
        <w:t>Localization and inclusive governance</w:t>
      </w:r>
    </w:p>
    <w:p w:rsidR="00DC5C14" w:rsidRDefault="00000000" w14:paraId="3E09EF75" w14:textId="77777777">
      <w:pPr>
        <w:pBdr>
          <w:top w:val="nil"/>
          <w:left w:val="nil"/>
          <w:bottom w:val="nil"/>
          <w:right w:val="nil"/>
          <w:between w:val="nil"/>
        </w:pBdr>
        <w:spacing w:before="280" w:after="280" w:line="276" w:lineRule="auto"/>
        <w:rPr>
          <w:color w:val="000000"/>
        </w:rPr>
      </w:pPr>
      <w:r>
        <w:rPr>
          <w:b/>
          <w:color w:val="000000"/>
        </w:rPr>
        <w:t>Geographic Focus:</w:t>
      </w:r>
      <w:r>
        <w:rPr>
          <w:color w:val="000000"/>
        </w:rPr>
        <w:t> Far North region, including hard-to-reach areas and cross-border dynamics.</w:t>
      </w:r>
    </w:p>
    <w:p w:rsidR="00DC5C14" w:rsidRDefault="00000000" w14:paraId="1E344275" w14:textId="77777777">
      <w:pPr>
        <w:pBdr>
          <w:top w:val="nil"/>
          <w:left w:val="nil"/>
          <w:bottom w:val="nil"/>
          <w:right w:val="nil"/>
          <w:between w:val="nil"/>
        </w:pBdr>
        <w:spacing w:before="280" w:after="280" w:line="276" w:lineRule="auto"/>
        <w:rPr>
          <w:color w:val="000000"/>
        </w:rPr>
      </w:pPr>
      <w:r>
        <w:rPr>
          <w:b/>
          <w:color w:val="000000"/>
        </w:rPr>
        <w:t>Chad</w:t>
      </w:r>
      <w:r>
        <w:rPr>
          <w:color w:val="000000"/>
        </w:rPr>
        <w:br/>
      </w:r>
      <w:r>
        <w:rPr>
          <w:color w:val="000000"/>
        </w:rPr>
        <w:t>The NFF priorities in Chad emphasize interventions that reinforce essential services and social cohesion while building resilience to climate and resource-based pressures. Thematic areas include:</w:t>
      </w:r>
    </w:p>
    <w:p w:rsidR="00DC5C14" w:rsidRDefault="00000000" w14:paraId="55E64C02" w14:textId="77777777">
      <w:pPr>
        <w:numPr>
          <w:ilvl w:val="0"/>
          <w:numId w:val="6"/>
        </w:numPr>
        <w:pBdr>
          <w:top w:val="nil"/>
          <w:left w:val="nil"/>
          <w:bottom w:val="nil"/>
          <w:right w:val="nil"/>
          <w:between w:val="nil"/>
        </w:pBdr>
        <w:spacing w:before="280" w:after="0" w:line="276" w:lineRule="auto"/>
        <w:rPr>
          <w:color w:val="000000"/>
        </w:rPr>
      </w:pPr>
      <w:r>
        <w:rPr>
          <w:color w:val="000000"/>
        </w:rPr>
        <w:t>Essential social services</w:t>
      </w:r>
    </w:p>
    <w:p w:rsidR="00DC5C14" w:rsidRDefault="00000000" w14:paraId="7EFEC9D5" w14:textId="77777777">
      <w:pPr>
        <w:numPr>
          <w:ilvl w:val="0"/>
          <w:numId w:val="6"/>
        </w:numPr>
        <w:pBdr>
          <w:top w:val="nil"/>
          <w:left w:val="nil"/>
          <w:bottom w:val="nil"/>
          <w:right w:val="nil"/>
          <w:between w:val="nil"/>
        </w:pBdr>
        <w:spacing w:after="0" w:line="276" w:lineRule="auto"/>
        <w:rPr>
          <w:color w:val="000000"/>
        </w:rPr>
      </w:pPr>
      <w:r>
        <w:rPr>
          <w:color w:val="000000"/>
        </w:rPr>
        <w:t>Livelihoods and food security</w:t>
      </w:r>
    </w:p>
    <w:p w:rsidR="00DC5C14" w:rsidRDefault="00000000" w14:paraId="0F91D9CE" w14:textId="77777777">
      <w:pPr>
        <w:numPr>
          <w:ilvl w:val="0"/>
          <w:numId w:val="6"/>
        </w:numPr>
        <w:pBdr>
          <w:top w:val="nil"/>
          <w:left w:val="nil"/>
          <w:bottom w:val="nil"/>
          <w:right w:val="nil"/>
          <w:between w:val="nil"/>
        </w:pBdr>
        <w:spacing w:after="0" w:line="276" w:lineRule="auto"/>
        <w:rPr>
          <w:color w:val="000000"/>
        </w:rPr>
      </w:pPr>
      <w:r>
        <w:rPr>
          <w:color w:val="000000"/>
        </w:rPr>
        <w:t>Social cohesion and community participation</w:t>
      </w:r>
    </w:p>
    <w:p w:rsidR="00DC5C14" w:rsidRDefault="00000000" w14:paraId="695D7D30" w14:textId="77777777">
      <w:pPr>
        <w:numPr>
          <w:ilvl w:val="0"/>
          <w:numId w:val="6"/>
        </w:numPr>
        <w:pBdr>
          <w:top w:val="nil"/>
          <w:left w:val="nil"/>
          <w:bottom w:val="nil"/>
          <w:right w:val="nil"/>
          <w:between w:val="nil"/>
        </w:pBdr>
        <w:spacing w:after="0" w:line="276" w:lineRule="auto"/>
        <w:rPr>
          <w:color w:val="000000"/>
        </w:rPr>
      </w:pPr>
      <w:r>
        <w:rPr>
          <w:color w:val="000000"/>
        </w:rPr>
        <w:t>Inclusive local governance and institutional legitimacy</w:t>
      </w:r>
    </w:p>
    <w:p w:rsidR="00DC5C14" w:rsidRDefault="00000000" w14:paraId="429893F9" w14:textId="77777777">
      <w:pPr>
        <w:numPr>
          <w:ilvl w:val="0"/>
          <w:numId w:val="6"/>
        </w:numPr>
        <w:pBdr>
          <w:top w:val="nil"/>
          <w:left w:val="nil"/>
          <w:bottom w:val="nil"/>
          <w:right w:val="nil"/>
          <w:between w:val="nil"/>
        </w:pBdr>
        <w:spacing w:after="280" w:line="276" w:lineRule="auto"/>
        <w:rPr>
          <w:color w:val="000000"/>
        </w:rPr>
      </w:pPr>
      <w:r>
        <w:rPr>
          <w:color w:val="000000"/>
        </w:rPr>
        <w:t>Climate resilience and disaster preparedness</w:t>
      </w:r>
    </w:p>
    <w:p w:rsidR="00DC5C14" w:rsidRDefault="00000000" w14:paraId="727182C2" w14:textId="77777777">
      <w:pPr>
        <w:pBdr>
          <w:top w:val="nil"/>
          <w:left w:val="nil"/>
          <w:bottom w:val="nil"/>
          <w:right w:val="nil"/>
          <w:between w:val="nil"/>
        </w:pBdr>
        <w:spacing w:before="280" w:after="280" w:line="276" w:lineRule="auto"/>
        <w:rPr>
          <w:color w:val="000000"/>
        </w:rPr>
      </w:pPr>
      <w:r>
        <w:rPr>
          <w:color w:val="000000"/>
        </w:rPr>
        <w:t> </w:t>
      </w:r>
      <w:r>
        <w:rPr>
          <w:b/>
          <w:color w:val="000000"/>
        </w:rPr>
        <w:t>Geographic Focus:</w:t>
      </w:r>
      <w:r>
        <w:rPr>
          <w:color w:val="000000"/>
        </w:rPr>
        <w:t> Lac and Hadjer-Lamis provinces</w:t>
      </w:r>
    </w:p>
    <w:p w:rsidR="00DC5C14" w:rsidRDefault="00000000" w14:paraId="07B23B60" w14:textId="77777777">
      <w:pPr>
        <w:spacing w:before="280" w:after="280" w:line="276" w:lineRule="auto"/>
        <w:rPr>
          <w:b/>
          <w:sz w:val="36"/>
          <w:szCs w:val="36"/>
        </w:rPr>
      </w:pPr>
      <w:r>
        <w:rPr>
          <w:b/>
          <w:sz w:val="36"/>
          <w:szCs w:val="36"/>
        </w:rPr>
        <w:t>Current Proposals</w:t>
      </w:r>
    </w:p>
    <w:p w:rsidR="00DC5C14" w:rsidRDefault="00000000" w14:paraId="5B9C7EC1" w14:textId="77777777">
      <w:pPr>
        <w:spacing w:before="280" w:after="280" w:line="276" w:lineRule="auto"/>
      </w:pPr>
      <w:r w:rsidRPr="2EBC3EE1" w:rsidR="2EBC3EE1">
        <w:rPr>
          <w:lang w:val="en-US"/>
        </w:rPr>
        <w:t>The NFF issues regular Calls for Proposals (</w:t>
      </w:r>
      <w:r w:rsidRPr="2EBC3EE1" w:rsidR="2EBC3EE1">
        <w:rPr>
          <w:lang w:val="en-US"/>
        </w:rPr>
        <w:t>CfPs</w:t>
      </w:r>
      <w:r w:rsidRPr="2EBC3EE1" w:rsidR="2EBC3EE1">
        <w:rPr>
          <w:lang w:val="en-US"/>
        </w:rPr>
        <w:t xml:space="preserve">) based on priorities </w:t>
      </w:r>
      <w:r w:rsidRPr="2EBC3EE1" w:rsidR="2EBC3EE1">
        <w:rPr>
          <w:lang w:val="en-US"/>
        </w:rPr>
        <w:t>validated</w:t>
      </w:r>
      <w:r w:rsidRPr="2EBC3EE1" w:rsidR="2EBC3EE1">
        <w:rPr>
          <w:lang w:val="en-US"/>
        </w:rPr>
        <w:t xml:space="preserve"> by National Nexus Task Forces (NNTFs) in each country. Calls are open to consortia of eligible NGOs, CSOs, and other actors working in the Lake Chad Basin. The current </w:t>
      </w:r>
      <w:r w:rsidRPr="2EBC3EE1" w:rsidR="2EBC3EE1">
        <w:rPr>
          <w:lang w:val="en-US"/>
        </w:rPr>
        <w:t>CfP</w:t>
      </w:r>
      <w:r w:rsidRPr="2EBC3EE1" w:rsidR="2EBC3EE1">
        <w:rPr>
          <w:lang w:val="en-US"/>
        </w:rPr>
        <w:t xml:space="preserve"> can be found here: </w:t>
      </w:r>
    </w:p>
    <w:p w:rsidR="00DC5C14" w:rsidRDefault="00000000" w14:paraId="1DB7AAC0" w14:textId="77777777">
      <w:pPr>
        <w:numPr>
          <w:ilvl w:val="0"/>
          <w:numId w:val="6"/>
        </w:numPr>
        <w:pBdr>
          <w:top w:val="nil"/>
          <w:left w:val="nil"/>
          <w:bottom w:val="nil"/>
          <w:right w:val="nil"/>
          <w:between w:val="nil"/>
        </w:pBdr>
        <w:spacing w:before="280" w:after="0" w:line="240" w:lineRule="auto"/>
        <w:rPr>
          <w:color w:val="000000"/>
        </w:rPr>
      </w:pPr>
      <w:r>
        <w:rPr>
          <w:color w:val="000000"/>
        </w:rPr>
        <w:t>English: </w:t>
      </w:r>
      <w:hyperlink r:id="rId8">
        <w:r>
          <w:rPr>
            <w:color w:val="467886"/>
            <w:u w:val="single"/>
          </w:rPr>
          <w:t>https://www.undp.org/africa/waca/publications/call-proposals-stage-1-nexus-funding-facility</w:t>
        </w:r>
      </w:hyperlink>
    </w:p>
    <w:p w:rsidRPr="0045021E" w:rsidR="0045021E" w:rsidP="0045021E" w:rsidRDefault="00000000" w14:paraId="030AF615" w14:textId="2748FFD3">
      <w:pPr>
        <w:numPr>
          <w:ilvl w:val="0"/>
          <w:numId w:val="6"/>
        </w:numPr>
        <w:pBdr>
          <w:top w:val="nil"/>
          <w:left w:val="nil"/>
          <w:bottom w:val="nil"/>
          <w:right w:val="nil"/>
          <w:between w:val="nil"/>
        </w:pBdr>
        <w:spacing w:after="0" w:line="240" w:lineRule="auto"/>
        <w:rPr>
          <w:color w:val="000000"/>
        </w:rPr>
      </w:pPr>
      <w:r>
        <w:rPr>
          <w:color w:val="000000"/>
        </w:rPr>
        <w:t>Français: </w:t>
      </w:r>
      <w:hyperlink r:id="rId9">
        <w:r>
          <w:rPr>
            <w:color w:val="467886"/>
            <w:u w:val="single"/>
          </w:rPr>
          <w:t>https://www.undp.org/fr/africa/waca/publications/appel-propositions-phase-1-mecanisme-de-financement-nexus-nff</w:t>
        </w:r>
      </w:hyperlink>
    </w:p>
    <w:p w:rsidR="00DC5C14" w:rsidRDefault="00000000" w14:paraId="675C9483" w14:textId="7638FB3B">
      <w:pPr>
        <w:spacing w:before="280" w:after="280" w:line="276" w:lineRule="auto"/>
        <w:rPr>
          <w:b/>
          <w:sz w:val="36"/>
          <w:szCs w:val="36"/>
        </w:rPr>
      </w:pPr>
      <w:r>
        <w:rPr>
          <w:b/>
          <w:sz w:val="36"/>
          <w:szCs w:val="36"/>
        </w:rPr>
        <w:t>Frequently Asked Questions (FAQ)</w:t>
      </w:r>
    </w:p>
    <w:p w:rsidR="00DC5C14" w:rsidP="2EBC3EE1" w:rsidRDefault="00000000" w14:paraId="65BA5AB3" w14:textId="77777777">
      <w:pPr>
        <w:pStyle w:val="Heading3"/>
        <w:keepNext w:val="0"/>
        <w:keepLines w:val="0"/>
        <w:spacing w:before="280" w:line="276" w:lineRule="auto"/>
        <w:rPr>
          <w:b w:val="1"/>
          <w:bCs w:val="1"/>
          <w:color w:val="000000"/>
          <w:sz w:val="26"/>
          <w:szCs w:val="26"/>
          <w:lang w:val="en-US"/>
        </w:rPr>
      </w:pPr>
      <w:bookmarkStart w:name="_heading=h.kks9kw6ehwfq" w:id="0"/>
      <w:bookmarkEnd w:id="0"/>
      <w:r w:rsidRPr="2EBC3EE1" w:rsidR="2EBC3EE1">
        <w:rPr>
          <w:b w:val="1"/>
          <w:bCs w:val="1"/>
          <w:color w:val="000000" w:themeColor="text1" w:themeTint="FF" w:themeShade="FF"/>
          <w:sz w:val="26"/>
          <w:szCs w:val="26"/>
          <w:lang w:val="en-US"/>
        </w:rPr>
        <w:t xml:space="preserve">1. What is the </w:t>
      </w:r>
      <w:r w:rsidRPr="2EBC3EE1" w:rsidR="2EBC3EE1">
        <w:rPr>
          <w:b w:val="1"/>
          <w:bCs w:val="1"/>
          <w:color w:val="000000" w:themeColor="text1" w:themeTint="FF" w:themeShade="FF"/>
          <w:sz w:val="26"/>
          <w:szCs w:val="26"/>
          <w:lang w:val="en-US"/>
        </w:rPr>
        <w:t>objective</w:t>
      </w:r>
      <w:r w:rsidRPr="2EBC3EE1" w:rsidR="2EBC3EE1">
        <w:rPr>
          <w:b w:val="1"/>
          <w:bCs w:val="1"/>
          <w:color w:val="000000" w:themeColor="text1" w:themeTint="FF" w:themeShade="FF"/>
          <w:sz w:val="26"/>
          <w:szCs w:val="26"/>
          <w:lang w:val="en-US"/>
        </w:rPr>
        <w:t xml:space="preserve"> of the Nexus Funding Facility?</w:t>
      </w:r>
    </w:p>
    <w:p w:rsidR="00DC5C14" w:rsidRDefault="00000000" w14:paraId="3936818F" w14:textId="77777777">
      <w:pPr>
        <w:spacing w:before="240" w:after="240" w:line="276" w:lineRule="auto"/>
      </w:pPr>
      <w:r>
        <w:t>The NFF aims to operationalize the Humanitarian–Development–Peace (HDP) Nexus by funding integrated, cross-sectoral projects that reduce humanitarian needs while addressing the structural drivers of fragility, vulnerability, conflict, and displacement in the Lake Chad Basin.</w:t>
      </w:r>
    </w:p>
    <w:p w:rsidR="00DC5C14" w:rsidRDefault="00000000" w14:paraId="7B152070" w14:textId="77777777">
      <w:pPr>
        <w:pStyle w:val="Heading3"/>
        <w:keepNext w:val="0"/>
        <w:keepLines w:val="0"/>
        <w:spacing w:before="280" w:line="276" w:lineRule="auto"/>
        <w:rPr>
          <w:b/>
          <w:color w:val="000000"/>
          <w:sz w:val="26"/>
          <w:szCs w:val="26"/>
        </w:rPr>
      </w:pPr>
      <w:bookmarkStart w:name="_heading=h.4ph5wso6r7r" w:colFirst="0" w:colLast="0" w:id="1"/>
      <w:bookmarkEnd w:id="1"/>
      <w:r>
        <w:rPr>
          <w:b/>
          <w:color w:val="000000"/>
          <w:sz w:val="26"/>
          <w:szCs w:val="26"/>
        </w:rPr>
        <w:t>2. Who can apply for funding?</w:t>
      </w:r>
    </w:p>
    <w:p w:rsidR="00DC5C14" w:rsidRDefault="00000000" w14:paraId="748A728D" w14:textId="77777777">
      <w:pPr>
        <w:spacing w:before="240" w:after="240" w:line="276" w:lineRule="auto"/>
      </w:pPr>
      <w:r>
        <w:t>Eligible applicants include consortia composed of UN organizations, international NGOs, and civil society organizations (CSOs)—including national NGOs and other not-for-profit entities.</w:t>
      </w:r>
    </w:p>
    <w:p w:rsidR="00DC5C14" w:rsidRDefault="00000000" w14:paraId="7E5993D0" w14:textId="77777777">
      <w:pPr>
        <w:spacing w:before="240" w:after="240" w:line="276" w:lineRule="auto"/>
      </w:pPr>
      <w:r>
        <w:t>Each consortium must include at least one national CSO legally registered in the country of implementation.</w:t>
      </w:r>
    </w:p>
    <w:p w:rsidR="00DC5C14" w:rsidRDefault="00000000" w14:paraId="4D8897DC" w14:textId="77777777">
      <w:pPr>
        <w:spacing w:before="240" w:after="240" w:line="276" w:lineRule="auto"/>
      </w:pPr>
      <w:r>
        <w:t>During the first allocation round (October–December 2025), the NFF will accept proposals only from Cameroon and Chad. Future rounds may expand to cover Nigeria and Niger.</w:t>
      </w:r>
    </w:p>
    <w:p w:rsidR="00DC5C14" w:rsidP="2EBC3EE1" w:rsidRDefault="00000000" w14:paraId="0C36B229" w14:textId="77777777">
      <w:pPr>
        <w:pStyle w:val="Heading3"/>
        <w:keepNext w:val="0"/>
        <w:keepLines w:val="0"/>
        <w:spacing w:before="280" w:line="276" w:lineRule="auto"/>
        <w:rPr>
          <w:b w:val="1"/>
          <w:bCs w:val="1"/>
          <w:color w:val="000000"/>
          <w:sz w:val="26"/>
          <w:szCs w:val="26"/>
          <w:lang w:val="en-US"/>
        </w:rPr>
      </w:pPr>
      <w:bookmarkStart w:name="_heading=h.2koimar7b1yo" w:id="2"/>
      <w:bookmarkEnd w:id="2"/>
      <w:r w:rsidRPr="2EBC3EE1" w:rsidR="2EBC3EE1">
        <w:rPr>
          <w:b w:val="1"/>
          <w:bCs w:val="1"/>
          <w:color w:val="000000" w:themeColor="text1" w:themeTint="FF" w:themeShade="FF"/>
          <w:sz w:val="26"/>
          <w:szCs w:val="26"/>
          <w:lang w:val="en-US"/>
        </w:rPr>
        <w:t xml:space="preserve">3. What kinds of projects are </w:t>
      </w:r>
      <w:r w:rsidRPr="2EBC3EE1" w:rsidR="2EBC3EE1">
        <w:rPr>
          <w:b w:val="1"/>
          <w:bCs w:val="1"/>
          <w:color w:val="000000" w:themeColor="text1" w:themeTint="FF" w:themeShade="FF"/>
          <w:sz w:val="26"/>
          <w:szCs w:val="26"/>
          <w:lang w:val="en-US"/>
        </w:rPr>
        <w:t>eligible</w:t>
      </w:r>
      <w:r w:rsidRPr="2EBC3EE1" w:rsidR="2EBC3EE1">
        <w:rPr>
          <w:b w:val="1"/>
          <w:bCs w:val="1"/>
          <w:color w:val="000000" w:themeColor="text1" w:themeTint="FF" w:themeShade="FF"/>
          <w:sz w:val="26"/>
          <w:szCs w:val="26"/>
          <w:lang w:val="en-US"/>
        </w:rPr>
        <w:t>?</w:t>
      </w:r>
    </w:p>
    <w:p w:rsidR="00DC5C14" w:rsidRDefault="00000000" w14:paraId="295D7D34" w14:textId="77777777">
      <w:pPr>
        <w:spacing w:before="240" w:after="240" w:line="276" w:lineRule="auto"/>
      </w:pPr>
      <w:r>
        <w:t>Projects must:</w:t>
      </w:r>
    </w:p>
    <w:p w:rsidR="00DC5C14" w:rsidP="2EBC3EE1" w:rsidRDefault="00000000" w14:paraId="0298F11C" w14:textId="77777777">
      <w:pPr>
        <w:numPr>
          <w:ilvl w:val="0"/>
          <w:numId w:val="7"/>
        </w:numPr>
        <w:spacing w:before="240" w:after="0" w:line="276" w:lineRule="auto"/>
        <w:rPr>
          <w:lang w:val="en-US"/>
        </w:rPr>
      </w:pPr>
      <w:r w:rsidRPr="2EBC3EE1" w:rsidR="2EBC3EE1">
        <w:rPr>
          <w:lang w:val="en-US"/>
        </w:rPr>
        <w:t xml:space="preserve">Address HDP Nexus priorities </w:t>
      </w:r>
      <w:r w:rsidRPr="2EBC3EE1" w:rsidR="2EBC3EE1">
        <w:rPr>
          <w:lang w:val="en-US"/>
        </w:rPr>
        <w:t>validated</w:t>
      </w:r>
      <w:r w:rsidRPr="2EBC3EE1" w:rsidR="2EBC3EE1">
        <w:rPr>
          <w:lang w:val="en-US"/>
        </w:rPr>
        <w:t xml:space="preserve"> by the National Nexus Task Forces (NNTFs);</w:t>
      </w:r>
      <w:r>
        <w:br/>
      </w:r>
    </w:p>
    <w:p w:rsidR="00DC5C14" w:rsidP="2EBC3EE1" w:rsidRDefault="00000000" w14:paraId="40668202" w14:textId="77777777">
      <w:pPr>
        <w:numPr>
          <w:ilvl w:val="0"/>
          <w:numId w:val="7"/>
        </w:numPr>
        <w:spacing w:after="0" w:line="276" w:lineRule="auto"/>
        <w:rPr>
          <w:lang w:val="en-US"/>
        </w:rPr>
      </w:pPr>
      <w:r w:rsidRPr="2EBC3EE1" w:rsidR="2EBC3EE1">
        <w:rPr>
          <w:lang w:val="en-US"/>
        </w:rPr>
        <w:t>Operate in the target geographic areas defined in the Call for Proposals (</w:t>
      </w:r>
      <w:r w:rsidRPr="2EBC3EE1" w:rsidR="2EBC3EE1">
        <w:rPr>
          <w:lang w:val="en-US"/>
        </w:rPr>
        <w:t>CfP</w:t>
      </w:r>
      <w:r w:rsidRPr="2EBC3EE1" w:rsidR="2EBC3EE1">
        <w:rPr>
          <w:lang w:val="en-US"/>
        </w:rPr>
        <w:t>);</w:t>
      </w:r>
      <w:r>
        <w:br/>
      </w:r>
    </w:p>
    <w:p w:rsidR="00DC5C14" w:rsidRDefault="00000000" w14:paraId="37966178" w14:textId="77777777">
      <w:pPr>
        <w:numPr>
          <w:ilvl w:val="0"/>
          <w:numId w:val="7"/>
        </w:numPr>
        <w:spacing w:after="0" w:line="276" w:lineRule="auto"/>
      </w:pPr>
      <w:r>
        <w:t>Be area-based, and where possible, cross-border and in hard-to-reach areas;</w:t>
      </w:r>
      <w:r>
        <w:br/>
      </w:r>
    </w:p>
    <w:p w:rsidR="00DC5C14" w:rsidRDefault="00000000" w14:paraId="1F2601CD" w14:textId="77777777">
      <w:pPr>
        <w:numPr>
          <w:ilvl w:val="0"/>
          <w:numId w:val="7"/>
        </w:numPr>
        <w:spacing w:after="240" w:line="276" w:lineRule="auto"/>
      </w:pPr>
      <w:r>
        <w:t>Demonstrate conflict sensitivity, inclusion, gender equality, and adaptive management.</w:t>
      </w:r>
      <w:r>
        <w:br/>
      </w:r>
    </w:p>
    <w:p w:rsidR="00DC5C14" w:rsidRDefault="00000000" w14:paraId="101FDAB6" w14:textId="77777777">
      <w:pPr>
        <w:pStyle w:val="Heading3"/>
        <w:keepNext w:val="0"/>
        <w:keepLines w:val="0"/>
        <w:spacing w:before="280" w:line="276" w:lineRule="auto"/>
        <w:rPr>
          <w:b/>
          <w:color w:val="000000"/>
          <w:sz w:val="26"/>
          <w:szCs w:val="26"/>
        </w:rPr>
      </w:pPr>
      <w:bookmarkStart w:name="_heading=h.yoy4cerhdd9s" w:colFirst="0" w:colLast="0" w:id="3"/>
      <w:bookmarkEnd w:id="3"/>
      <w:r>
        <w:rPr>
          <w:b/>
          <w:color w:val="000000"/>
          <w:sz w:val="26"/>
          <w:szCs w:val="26"/>
        </w:rPr>
        <w:t>4. What is the expected duration and funding range?</w:t>
      </w:r>
    </w:p>
    <w:p w:rsidR="00DC5C14" w:rsidRDefault="00000000" w14:paraId="3116254D" w14:textId="77777777">
      <w:pPr>
        <w:spacing w:before="240" w:after="240" w:line="276" w:lineRule="auto"/>
      </w:pPr>
      <w:r w:rsidRPr="2EBC3EE1" w:rsidR="2EBC3EE1">
        <w:rPr>
          <w:lang w:val="en-US"/>
        </w:rPr>
        <w:t xml:space="preserve">Projects are </w:t>
      </w:r>
      <w:r w:rsidRPr="2EBC3EE1" w:rsidR="2EBC3EE1">
        <w:rPr>
          <w:lang w:val="en-US"/>
        </w:rPr>
        <w:t>generally expected</w:t>
      </w:r>
      <w:r w:rsidRPr="2EBC3EE1" w:rsidR="2EBC3EE1">
        <w:rPr>
          <w:lang w:val="en-US"/>
        </w:rPr>
        <w:t xml:space="preserve"> to run for 24 months. Each Call for Proposals specifies the exact duration, minimum and maximum funding amounts, and available envelope.</w:t>
      </w:r>
    </w:p>
    <w:p w:rsidR="00DC5C14" w:rsidP="2EBC3EE1" w:rsidRDefault="00000000" w14:paraId="39A1C2C1" w14:textId="77777777">
      <w:pPr>
        <w:pStyle w:val="Heading3"/>
        <w:keepNext w:val="0"/>
        <w:keepLines w:val="0"/>
        <w:spacing w:before="280" w:line="276" w:lineRule="auto"/>
        <w:rPr>
          <w:b w:val="1"/>
          <w:bCs w:val="1"/>
          <w:color w:val="000000"/>
          <w:sz w:val="26"/>
          <w:szCs w:val="26"/>
          <w:lang w:val="en-US"/>
        </w:rPr>
      </w:pPr>
      <w:bookmarkStart w:name="_heading=h.sccktqh72wgr" w:id="4"/>
      <w:bookmarkEnd w:id="4"/>
      <w:r w:rsidRPr="2EBC3EE1" w:rsidR="2EBC3EE1">
        <w:rPr>
          <w:b w:val="1"/>
          <w:bCs w:val="1"/>
          <w:color w:val="000000" w:themeColor="text1" w:themeTint="FF" w:themeShade="FF"/>
          <w:sz w:val="26"/>
          <w:szCs w:val="26"/>
          <w:lang w:val="en-US"/>
        </w:rPr>
        <w:t xml:space="preserve">5. Can one organization </w:t>
      </w:r>
      <w:r w:rsidRPr="2EBC3EE1" w:rsidR="2EBC3EE1">
        <w:rPr>
          <w:b w:val="1"/>
          <w:bCs w:val="1"/>
          <w:color w:val="000000" w:themeColor="text1" w:themeTint="FF" w:themeShade="FF"/>
          <w:sz w:val="26"/>
          <w:szCs w:val="26"/>
          <w:lang w:val="en-US"/>
        </w:rPr>
        <w:t>submit</w:t>
      </w:r>
      <w:r w:rsidRPr="2EBC3EE1" w:rsidR="2EBC3EE1">
        <w:rPr>
          <w:b w:val="1"/>
          <w:bCs w:val="1"/>
          <w:color w:val="000000" w:themeColor="text1" w:themeTint="FF" w:themeShade="FF"/>
          <w:sz w:val="26"/>
          <w:szCs w:val="26"/>
          <w:lang w:val="en-US"/>
        </w:rPr>
        <w:t xml:space="preserve"> multiple proposals?</w:t>
      </w:r>
    </w:p>
    <w:p w:rsidR="00DC5C14" w:rsidRDefault="00000000" w14:paraId="0DB94068" w14:textId="77777777">
      <w:pPr>
        <w:spacing w:before="240" w:after="240" w:line="276" w:lineRule="auto"/>
      </w:pPr>
      <w:r w:rsidRPr="2EBC3EE1" w:rsidR="2EBC3EE1">
        <w:rPr>
          <w:lang w:val="en-US"/>
        </w:rPr>
        <w:t xml:space="preserve">No. Each organization may </w:t>
      </w:r>
      <w:r w:rsidRPr="2EBC3EE1" w:rsidR="2EBC3EE1">
        <w:rPr>
          <w:lang w:val="en-US"/>
        </w:rPr>
        <w:t>participate</w:t>
      </w:r>
      <w:r w:rsidRPr="2EBC3EE1" w:rsidR="2EBC3EE1">
        <w:rPr>
          <w:lang w:val="en-US"/>
        </w:rPr>
        <w:t xml:space="preserve"> in only one consortium per country and </w:t>
      </w:r>
      <w:r w:rsidRPr="2EBC3EE1" w:rsidR="2EBC3EE1">
        <w:rPr>
          <w:lang w:val="en-US"/>
        </w:rPr>
        <w:t>submit</w:t>
      </w:r>
      <w:r w:rsidRPr="2EBC3EE1" w:rsidR="2EBC3EE1">
        <w:rPr>
          <w:lang w:val="en-US"/>
        </w:rPr>
        <w:t xml:space="preserve"> one application.</w:t>
      </w:r>
    </w:p>
    <w:p w:rsidR="00DC5C14" w:rsidRDefault="00000000" w14:paraId="16E8848A" w14:textId="77777777">
      <w:pPr>
        <w:spacing w:before="240" w:after="240" w:line="276" w:lineRule="auto"/>
      </w:pPr>
      <w:r w:rsidRPr="2EBC3EE1" w:rsidR="2EBC3EE1">
        <w:rPr>
          <w:lang w:val="en-US"/>
        </w:rPr>
        <w:t xml:space="preserve">However, organizations operating in multiple countries may join different consortia in different countries, provided they meet the eligibility requirements in </w:t>
      </w:r>
      <w:r w:rsidRPr="2EBC3EE1" w:rsidR="2EBC3EE1">
        <w:rPr>
          <w:lang w:val="en-US"/>
        </w:rPr>
        <w:t>each</w:t>
      </w:r>
      <w:r w:rsidRPr="2EBC3EE1" w:rsidR="2EBC3EE1">
        <w:rPr>
          <w:lang w:val="en-US"/>
        </w:rPr>
        <w:t>.</w:t>
      </w:r>
    </w:p>
    <w:p w:rsidR="00DC5C14" w:rsidRDefault="00000000" w14:paraId="713162CB" w14:textId="77777777">
      <w:pPr>
        <w:pStyle w:val="Heading3"/>
        <w:keepNext w:val="0"/>
        <w:keepLines w:val="0"/>
        <w:spacing w:before="280" w:line="276" w:lineRule="auto"/>
        <w:rPr>
          <w:b/>
          <w:color w:val="000000"/>
          <w:sz w:val="26"/>
          <w:szCs w:val="26"/>
        </w:rPr>
      </w:pPr>
      <w:bookmarkStart w:name="_heading=h.upgfskphzkqj" w:colFirst="0" w:colLast="0" w:id="5"/>
      <w:bookmarkEnd w:id="5"/>
      <w:r>
        <w:rPr>
          <w:b/>
          <w:color w:val="000000"/>
          <w:sz w:val="26"/>
          <w:szCs w:val="26"/>
        </w:rPr>
        <w:t>6. How are proposals evaluated?</w:t>
      </w:r>
    </w:p>
    <w:p w:rsidR="00DC5C14" w:rsidRDefault="00000000" w14:paraId="0EA7FC96" w14:textId="77777777">
      <w:pPr>
        <w:spacing w:before="240" w:after="240" w:line="276" w:lineRule="auto"/>
      </w:pPr>
      <w:r w:rsidRPr="2EBC3EE1" w:rsidR="2EBC3EE1">
        <w:rPr>
          <w:lang w:val="en-US"/>
        </w:rPr>
        <w:t xml:space="preserve">All proposals are reviewed by the Independent Technical Review Committee (ITRC) — a panel of independent experts ensuring a fair, transparent, and merit-based </w:t>
      </w:r>
      <w:r w:rsidRPr="2EBC3EE1" w:rsidR="2EBC3EE1">
        <w:rPr>
          <w:lang w:val="en-US"/>
        </w:rPr>
        <w:t>selection</w:t>
      </w:r>
      <w:r w:rsidRPr="2EBC3EE1" w:rsidR="2EBC3EE1">
        <w:rPr>
          <w:lang w:val="en-US"/>
        </w:rPr>
        <w:t>.</w:t>
      </w:r>
    </w:p>
    <w:p w:rsidR="00DC5C14" w:rsidRDefault="00000000" w14:paraId="5D91BD1D" w14:textId="77777777">
      <w:pPr>
        <w:spacing w:before="240" w:after="240" w:line="276" w:lineRule="auto"/>
      </w:pPr>
      <w:r>
        <w:t>Proposals are assessed against the following criteria:</w:t>
      </w:r>
    </w:p>
    <w:p w:rsidR="00DC5C14" w:rsidP="2EBC3EE1" w:rsidRDefault="00000000" w14:paraId="3B10EB56" w14:textId="77777777">
      <w:pPr>
        <w:numPr>
          <w:ilvl w:val="0"/>
          <w:numId w:val="2"/>
        </w:numPr>
        <w:spacing w:before="240" w:after="0" w:line="276" w:lineRule="auto"/>
        <w:rPr>
          <w:lang w:val="en-US"/>
        </w:rPr>
      </w:pPr>
      <w:r w:rsidRPr="2EBC3EE1" w:rsidR="2EBC3EE1">
        <w:rPr>
          <w:b w:val="1"/>
          <w:bCs w:val="1"/>
          <w:lang w:val="en-US"/>
        </w:rPr>
        <w:t>Strategic relevance</w:t>
      </w:r>
      <w:r w:rsidRPr="2EBC3EE1" w:rsidR="2EBC3EE1">
        <w:rPr>
          <w:lang w:val="en-US"/>
        </w:rPr>
        <w:t xml:space="preserve"> – alignment with national HDP Nexus priorities and </w:t>
      </w:r>
      <w:r w:rsidRPr="2EBC3EE1" w:rsidR="2EBC3EE1">
        <w:rPr>
          <w:lang w:val="en-US"/>
        </w:rPr>
        <w:t>CfP</w:t>
      </w:r>
      <w:r w:rsidRPr="2EBC3EE1" w:rsidR="2EBC3EE1">
        <w:rPr>
          <w:lang w:val="en-US"/>
        </w:rPr>
        <w:t xml:space="preserve"> objectives</w:t>
      </w:r>
      <w:r>
        <w:br/>
      </w:r>
    </w:p>
    <w:p w:rsidR="00DC5C14" w:rsidRDefault="00000000" w14:paraId="13210801" w14:textId="77777777">
      <w:pPr>
        <w:numPr>
          <w:ilvl w:val="0"/>
          <w:numId w:val="2"/>
        </w:numPr>
        <w:spacing w:after="0" w:line="276" w:lineRule="auto"/>
      </w:pPr>
      <w:r>
        <w:rPr>
          <w:b/>
        </w:rPr>
        <w:t>Technical quality</w:t>
      </w:r>
      <w:r>
        <w:t xml:space="preserve"> – methodological clarity, logical framework, and measurable results</w:t>
      </w:r>
      <w:r>
        <w:br/>
      </w:r>
    </w:p>
    <w:p w:rsidR="00DC5C14" w:rsidRDefault="00000000" w14:paraId="753CC5F5" w14:textId="77777777">
      <w:pPr>
        <w:numPr>
          <w:ilvl w:val="0"/>
          <w:numId w:val="2"/>
        </w:numPr>
        <w:spacing w:after="0" w:line="276" w:lineRule="auto"/>
      </w:pPr>
      <w:r>
        <w:rPr>
          <w:b/>
        </w:rPr>
        <w:t>Consortium composition &amp; local leadership</w:t>
      </w:r>
      <w:r>
        <w:t xml:space="preserve"> – complementarity and leadership of national actors</w:t>
      </w:r>
      <w:r>
        <w:br/>
      </w:r>
    </w:p>
    <w:p w:rsidR="00DC5C14" w:rsidRDefault="00000000" w14:paraId="37833FAA" w14:textId="77777777">
      <w:pPr>
        <w:numPr>
          <w:ilvl w:val="0"/>
          <w:numId w:val="2"/>
        </w:numPr>
        <w:spacing w:after="0" w:line="276" w:lineRule="auto"/>
      </w:pPr>
      <w:r>
        <w:rPr>
          <w:b/>
        </w:rPr>
        <w:t>Risk management</w:t>
      </w:r>
      <w:r>
        <w:t xml:space="preserve"> – credible mitigation of contextual and operational risks</w:t>
      </w:r>
      <w:r>
        <w:br/>
      </w:r>
    </w:p>
    <w:p w:rsidR="00DC5C14" w:rsidRDefault="00000000" w14:paraId="412E39BE" w14:textId="77777777">
      <w:pPr>
        <w:numPr>
          <w:ilvl w:val="0"/>
          <w:numId w:val="2"/>
        </w:numPr>
        <w:spacing w:after="240" w:line="276" w:lineRule="auto"/>
      </w:pPr>
      <w:r>
        <w:rPr>
          <w:b/>
        </w:rPr>
        <w:t>Value for money</w:t>
      </w:r>
      <w:r>
        <w:t xml:space="preserve"> – cost efficiency relative to expected outcomes</w:t>
      </w:r>
      <w:r>
        <w:br/>
      </w:r>
    </w:p>
    <w:p w:rsidR="00DC5C14" w:rsidRDefault="00000000" w14:paraId="256A17D3" w14:textId="77777777">
      <w:pPr>
        <w:spacing w:before="240" w:after="240" w:line="276" w:lineRule="auto"/>
      </w:pPr>
      <w:r>
        <w:t xml:space="preserve">The review process follows strict </w:t>
      </w:r>
      <w:r>
        <w:rPr>
          <w:b/>
        </w:rPr>
        <w:t>ethical standards</w:t>
      </w:r>
      <w:r>
        <w:t>, and applicants may receive feedback to strengthen future submissions.</w:t>
      </w:r>
    </w:p>
    <w:p w:rsidR="00DC5C14" w:rsidRDefault="00DC5C14" w14:paraId="7220BF68" w14:textId="77777777">
      <w:pPr>
        <w:spacing w:before="280" w:after="280" w:line="276" w:lineRule="auto"/>
      </w:pPr>
    </w:p>
    <w:p w:rsidR="00DC5C14" w:rsidRDefault="00000000" w14:paraId="6D5BFD1A" w14:textId="77777777">
      <w:pPr>
        <w:pStyle w:val="Heading3"/>
        <w:keepNext w:val="0"/>
        <w:keepLines w:val="0"/>
        <w:spacing w:before="280" w:line="276" w:lineRule="auto"/>
        <w:rPr>
          <w:b/>
          <w:color w:val="000000"/>
          <w:sz w:val="26"/>
          <w:szCs w:val="26"/>
        </w:rPr>
      </w:pPr>
      <w:bookmarkStart w:name="_heading=h.lrm1yegkofy7" w:colFirst="0" w:colLast="0" w:id="6"/>
      <w:bookmarkEnd w:id="6"/>
      <w:r>
        <w:rPr>
          <w:b/>
          <w:color w:val="000000"/>
          <w:sz w:val="26"/>
          <w:szCs w:val="26"/>
        </w:rPr>
        <w:t>7. How are priorities determined?</w:t>
      </w:r>
    </w:p>
    <w:p w:rsidR="00DC5C14" w:rsidRDefault="00000000" w14:paraId="7D09C61A" w14:textId="77777777">
      <w:pPr>
        <w:spacing w:before="240" w:after="240" w:line="276" w:lineRule="auto"/>
      </w:pPr>
      <w:r>
        <w:t>Each National Nexus Task Force (NNTF) identifies and validates thematic and geographic priorities through joint analysis, stakeholder consultations, and alignment with national strategies.</w:t>
      </w:r>
    </w:p>
    <w:p w:rsidR="00DC5C14" w:rsidRDefault="00000000" w14:paraId="7B01D6CB" w14:textId="77777777">
      <w:pPr>
        <w:spacing w:before="240" w:after="240" w:line="276" w:lineRule="auto"/>
      </w:pPr>
      <w:r>
        <w:t xml:space="preserve">These validated priorities guide the scope of each </w:t>
      </w:r>
      <w:proofErr w:type="spellStart"/>
      <w:r>
        <w:t>CfP</w:t>
      </w:r>
      <w:proofErr w:type="spellEnd"/>
      <w:r>
        <w:t xml:space="preserve"> and ensure coherence with broader regional and national frameworks.</w:t>
      </w:r>
    </w:p>
    <w:p w:rsidR="00DC5C14" w:rsidRDefault="00DC5C14" w14:paraId="109A139F" w14:textId="77777777">
      <w:pPr>
        <w:spacing w:before="280" w:after="280" w:line="276" w:lineRule="auto"/>
      </w:pPr>
    </w:p>
    <w:p w:rsidR="00DC5C14" w:rsidRDefault="00000000" w14:paraId="01EF8791" w14:textId="77777777">
      <w:pPr>
        <w:pStyle w:val="Heading3"/>
        <w:keepNext w:val="0"/>
        <w:keepLines w:val="0"/>
        <w:spacing w:before="280" w:line="276" w:lineRule="auto"/>
        <w:rPr>
          <w:b/>
          <w:color w:val="000000"/>
          <w:sz w:val="26"/>
          <w:szCs w:val="26"/>
        </w:rPr>
      </w:pPr>
      <w:bookmarkStart w:name="_heading=h.qhrn4btvnsmr" w:colFirst="0" w:colLast="0" w:id="7"/>
      <w:bookmarkEnd w:id="7"/>
      <w:r>
        <w:rPr>
          <w:b/>
          <w:color w:val="000000"/>
          <w:sz w:val="26"/>
          <w:szCs w:val="26"/>
        </w:rPr>
        <w:t>8. What is the proposal selection timeline?</w:t>
      </w:r>
    </w:p>
    <w:p w:rsidR="00DC5C14" w:rsidRDefault="00000000" w14:paraId="5D30801E" w14:textId="77777777">
      <w:pPr>
        <w:spacing w:before="240" w:after="240" w:line="276" w:lineRule="auto"/>
      </w:pPr>
      <w:r>
        <w:t xml:space="preserve">The NFF uses a </w:t>
      </w:r>
      <w:r>
        <w:rPr>
          <w:b/>
        </w:rPr>
        <w:t>two-stage application process</w:t>
      </w:r>
      <w:r>
        <w:t xml:space="preserve"> to streamline submissions and support quality review:</w:t>
      </w:r>
    </w:p>
    <w:p w:rsidR="00DC5C14" w:rsidRDefault="00000000" w14:paraId="28AFF2D1" w14:textId="77777777">
      <w:pPr>
        <w:numPr>
          <w:ilvl w:val="0"/>
          <w:numId w:val="1"/>
        </w:numPr>
        <w:spacing w:before="240" w:after="0" w:line="276" w:lineRule="auto"/>
      </w:pPr>
      <w:r>
        <w:rPr>
          <w:b/>
        </w:rPr>
        <w:t>Stage 1 – Concept Note Submission:</w:t>
      </w:r>
      <w:r>
        <w:t xml:space="preserve"> Eligible consortia have five (5) weeks to submit a short Concept Note with summary budget and consortium details.</w:t>
      </w:r>
      <w:r>
        <w:br/>
      </w:r>
    </w:p>
    <w:p w:rsidR="00DC5C14" w:rsidRDefault="00000000" w14:paraId="01030655" w14:textId="77777777">
      <w:pPr>
        <w:numPr>
          <w:ilvl w:val="0"/>
          <w:numId w:val="1"/>
        </w:numPr>
        <w:spacing w:after="0" w:line="276" w:lineRule="auto"/>
      </w:pPr>
      <w:r>
        <w:rPr>
          <w:b/>
        </w:rPr>
        <w:t>Shortlisting:</w:t>
      </w:r>
      <w:r>
        <w:t xml:space="preserve"> The ITRC conducts a preliminary review and shortlists high-quality submissions.</w:t>
      </w:r>
      <w:r>
        <w:br/>
      </w:r>
    </w:p>
    <w:p w:rsidR="00DC5C14" w:rsidRDefault="00000000" w14:paraId="6C16AC84" w14:textId="77777777">
      <w:pPr>
        <w:numPr>
          <w:ilvl w:val="0"/>
          <w:numId w:val="1"/>
        </w:numPr>
        <w:spacing w:after="0" w:line="276" w:lineRule="auto"/>
      </w:pPr>
      <w:r>
        <w:rPr>
          <w:b/>
        </w:rPr>
        <w:t>Stage 2 – Full Proposal Submission:</w:t>
      </w:r>
      <w:r>
        <w:t xml:space="preserve"> Shortlisted applicants have around four (4) weeks to develop a detailed proposal, budget, and results framework.</w:t>
      </w:r>
      <w:r>
        <w:br/>
      </w:r>
    </w:p>
    <w:p w:rsidR="00DC5C14" w:rsidRDefault="00000000" w14:paraId="3CE5224A" w14:textId="77777777">
      <w:pPr>
        <w:numPr>
          <w:ilvl w:val="0"/>
          <w:numId w:val="1"/>
        </w:numPr>
        <w:spacing w:after="0" w:line="276" w:lineRule="auto"/>
      </w:pPr>
      <w:r>
        <w:rPr>
          <w:b/>
        </w:rPr>
        <w:t>Final Review &amp; Decision:</w:t>
      </w:r>
      <w:r>
        <w:t xml:space="preserve"> The ITRC evaluates full proposals and submits recommendations to the Regional Board for final approval.</w:t>
      </w:r>
      <w:r>
        <w:br/>
      </w:r>
    </w:p>
    <w:p w:rsidR="00DC5C14" w:rsidRDefault="00000000" w14:paraId="3D614A1F" w14:textId="77777777">
      <w:pPr>
        <w:numPr>
          <w:ilvl w:val="0"/>
          <w:numId w:val="1"/>
        </w:numPr>
        <w:spacing w:after="240" w:line="276" w:lineRule="auto"/>
      </w:pPr>
      <w:r>
        <w:rPr>
          <w:b/>
        </w:rPr>
        <w:t>Onboarding &amp; Contracting:</w:t>
      </w:r>
      <w:r>
        <w:t xml:space="preserve"> Selected consortia undergo financial due diligence (e.g. HACT), inception workshops, and signing of agreements.</w:t>
      </w:r>
      <w:r>
        <w:br/>
      </w:r>
    </w:p>
    <w:p w:rsidR="00DC5C14" w:rsidRDefault="00000000" w14:paraId="58656DEA" w14:textId="77777777">
      <w:pPr>
        <w:pStyle w:val="Heading3"/>
        <w:keepNext w:val="0"/>
        <w:keepLines w:val="0"/>
        <w:spacing w:before="280" w:line="276" w:lineRule="auto"/>
        <w:rPr>
          <w:b/>
          <w:color w:val="000000"/>
          <w:sz w:val="26"/>
          <w:szCs w:val="26"/>
        </w:rPr>
      </w:pPr>
      <w:bookmarkStart w:name="_heading=h.9yqicya172kz" w:colFirst="0" w:colLast="0" w:id="8"/>
      <w:bookmarkEnd w:id="8"/>
      <w:r>
        <w:rPr>
          <w:b/>
          <w:color w:val="000000"/>
          <w:sz w:val="26"/>
          <w:szCs w:val="26"/>
        </w:rPr>
        <w:t>9. How should proposals be submitted?</w:t>
      </w:r>
    </w:p>
    <w:p w:rsidR="00DC5C14" w:rsidRDefault="00000000" w14:paraId="46367E01" w14:textId="77777777">
      <w:pPr>
        <w:spacing w:before="240" w:after="240" w:line="276" w:lineRule="auto"/>
      </w:pPr>
      <w:r>
        <w:t xml:space="preserve">Applications must be submitted </w:t>
      </w:r>
      <w:r>
        <w:rPr>
          <w:b/>
        </w:rPr>
        <w:t>by email</w:t>
      </w:r>
      <w:r>
        <w:t xml:space="preserve"> to </w:t>
      </w:r>
      <w:r>
        <w:rPr>
          <w:b/>
        </w:rPr>
        <w:t>secretariat.nff@undp.org</w:t>
      </w:r>
      <w:r>
        <w:t xml:space="preserve"> before the stated deadline (</w:t>
      </w:r>
      <w:r>
        <w:rPr>
          <w:b/>
        </w:rPr>
        <w:t>23 November, midnight Dakar time</w:t>
      </w:r>
      <w:r>
        <w:t>).</w:t>
      </w:r>
    </w:p>
    <w:p w:rsidR="00DC5C14" w:rsidRDefault="00000000" w14:paraId="338CB798" w14:textId="77777777">
      <w:pPr>
        <w:spacing w:before="240" w:after="240" w:line="276" w:lineRule="auto"/>
      </w:pPr>
      <w:r>
        <w:t>Submissions via other portals or delivery methods will not be accepted.</w:t>
      </w:r>
    </w:p>
    <w:p w:rsidR="00DC5C14" w:rsidRDefault="00DC5C14" w14:paraId="386C03C8" w14:textId="77777777">
      <w:pPr>
        <w:spacing w:before="240" w:after="240" w:line="276" w:lineRule="auto"/>
      </w:pPr>
    </w:p>
    <w:p w:rsidR="00DC5C14" w:rsidRDefault="00000000" w14:paraId="22D9E706" w14:textId="77777777">
      <w:pPr>
        <w:pStyle w:val="Heading3"/>
        <w:keepNext w:val="0"/>
        <w:keepLines w:val="0"/>
        <w:spacing w:before="280" w:line="276" w:lineRule="auto"/>
        <w:rPr>
          <w:b/>
          <w:color w:val="000000"/>
          <w:sz w:val="26"/>
          <w:szCs w:val="26"/>
        </w:rPr>
      </w:pPr>
      <w:bookmarkStart w:name="_heading=h.34cxvr2htko0" w:colFirst="0" w:colLast="0" w:id="9"/>
      <w:bookmarkEnd w:id="9"/>
      <w:r>
        <w:rPr>
          <w:b/>
          <w:color w:val="000000"/>
          <w:sz w:val="26"/>
          <w:szCs w:val="26"/>
        </w:rPr>
        <w:t>10. Can an organization participate in more than one consortium?</w:t>
      </w:r>
    </w:p>
    <w:p w:rsidR="00DC5C14" w:rsidRDefault="00000000" w14:paraId="1C80A314" w14:textId="77777777">
      <w:pPr>
        <w:spacing w:before="240" w:after="240" w:line="276" w:lineRule="auto"/>
      </w:pPr>
      <w:r>
        <w:t>Each organization may join only one consortium per country.</w:t>
      </w:r>
    </w:p>
    <w:p w:rsidR="00DC5C14" w:rsidRDefault="00000000" w14:paraId="0DFCFE33" w14:textId="77777777">
      <w:pPr>
        <w:spacing w:before="240" w:after="240" w:line="276" w:lineRule="auto"/>
      </w:pPr>
      <w:r>
        <w:t>However, if it adds value to the cross-border dimension, an organization may also participate in a separate cross-border consortium led from a neighboring country.</w:t>
      </w:r>
    </w:p>
    <w:p w:rsidR="00DC5C14" w:rsidRDefault="00DC5C14" w14:paraId="3DB0AC64" w14:textId="77777777">
      <w:pPr>
        <w:spacing w:before="280" w:after="280" w:line="276" w:lineRule="auto"/>
      </w:pPr>
    </w:p>
    <w:p w:rsidR="00DC5C14" w:rsidRDefault="00000000" w14:paraId="3DD24534" w14:textId="77777777">
      <w:pPr>
        <w:spacing w:before="280" w:after="280" w:line="276" w:lineRule="auto"/>
        <w:rPr>
          <w:b/>
          <w:color w:val="000000"/>
          <w:sz w:val="26"/>
          <w:szCs w:val="26"/>
        </w:rPr>
      </w:pPr>
      <w:r>
        <w:rPr>
          <w:b/>
          <w:color w:val="000000"/>
          <w:sz w:val="26"/>
          <w:szCs w:val="26"/>
        </w:rPr>
        <w:t>11. Is the funding envelope different for cross-border projects?</w:t>
      </w:r>
    </w:p>
    <w:p w:rsidR="00DC5C14" w:rsidRDefault="00000000" w14:paraId="46B5C3AB" w14:textId="77777777">
      <w:pPr>
        <w:spacing w:before="240" w:after="240" w:line="276" w:lineRule="auto"/>
      </w:pPr>
      <w:r>
        <w:t>No. The funding range applies equally to national and cross-border projects.</w:t>
      </w:r>
    </w:p>
    <w:p w:rsidR="00DC5C14" w:rsidRDefault="00000000" w14:paraId="4620408D" w14:textId="77777777">
      <w:pPr>
        <w:spacing w:before="240" w:after="240" w:line="276" w:lineRule="auto"/>
      </w:pPr>
      <w:r>
        <w:t>An additional note on the overall envelope and ceiling/floor amounts will be shared separately with applicants.</w:t>
      </w:r>
    </w:p>
    <w:p w:rsidR="00DC5C14" w:rsidRDefault="00DC5C14" w14:paraId="5E593B5C" w14:textId="77777777">
      <w:pPr>
        <w:spacing w:before="280" w:after="280" w:line="276" w:lineRule="auto"/>
      </w:pPr>
    </w:p>
    <w:p w:rsidR="00DC5C14" w:rsidRDefault="00000000" w14:paraId="204725F8" w14:textId="77777777">
      <w:pPr>
        <w:pStyle w:val="Heading3"/>
        <w:keepNext w:val="0"/>
        <w:keepLines w:val="0"/>
        <w:spacing w:before="280" w:line="276" w:lineRule="auto"/>
        <w:rPr>
          <w:b/>
          <w:color w:val="000000"/>
          <w:sz w:val="26"/>
          <w:szCs w:val="26"/>
        </w:rPr>
      </w:pPr>
      <w:bookmarkStart w:name="_heading=h.lisxedg0jqmz" w:colFirst="0" w:colLast="0" w:id="10"/>
      <w:bookmarkEnd w:id="10"/>
      <w:r>
        <w:rPr>
          <w:b/>
          <w:color w:val="000000"/>
          <w:sz w:val="26"/>
          <w:szCs w:val="26"/>
        </w:rPr>
        <w:t>12. What are “coordination costs,” and are they eligible?</w:t>
      </w:r>
    </w:p>
    <w:p w:rsidR="00DC5C14" w:rsidRDefault="00000000" w14:paraId="648863FF" w14:textId="77777777">
      <w:pPr>
        <w:spacing w:before="240" w:after="240" w:line="276" w:lineRule="auto"/>
      </w:pPr>
      <w:r>
        <w:t>Each consortium member will sign a separate bilateral agreement with UNDP as Fund Manager.</w:t>
      </w:r>
    </w:p>
    <w:p w:rsidR="00DC5C14" w:rsidRDefault="00000000" w14:paraId="5F7123B9" w14:textId="77777777">
      <w:pPr>
        <w:spacing w:before="240" w:after="240" w:line="276" w:lineRule="auto"/>
      </w:pPr>
      <w:r>
        <w:t>The lead organization facilitates coordination and communication but does not hold fiduciary responsibility over others.</w:t>
      </w:r>
    </w:p>
    <w:p w:rsidR="00DC5C14" w:rsidRDefault="00000000" w14:paraId="1274543D" w14:textId="77777777">
      <w:pPr>
        <w:spacing w:before="240" w:after="240" w:line="276" w:lineRule="auto"/>
      </w:pPr>
      <w:r>
        <w:t>Therefore, coordination fees or management mark-ups are not eligible for funding.</w:t>
      </w:r>
    </w:p>
    <w:p w:rsidR="00DC5C14" w:rsidRDefault="00DC5C14" w14:paraId="13D06E72" w14:textId="77777777">
      <w:pPr>
        <w:spacing w:before="280" w:after="280" w:line="276" w:lineRule="auto"/>
      </w:pPr>
    </w:p>
    <w:p w:rsidR="00DC5C14" w:rsidRDefault="00000000" w14:paraId="3E29CD6D" w14:textId="77777777">
      <w:pPr>
        <w:pStyle w:val="Heading3"/>
        <w:keepNext w:val="0"/>
        <w:keepLines w:val="0"/>
        <w:spacing w:before="280" w:line="276" w:lineRule="auto"/>
        <w:rPr>
          <w:b/>
          <w:color w:val="000000"/>
          <w:sz w:val="26"/>
          <w:szCs w:val="26"/>
        </w:rPr>
      </w:pPr>
      <w:bookmarkStart w:name="_heading=h.xrqxdx9c25bn" w:colFirst="0" w:colLast="0" w:id="11"/>
      <w:bookmarkEnd w:id="11"/>
      <w:r>
        <w:rPr>
          <w:b/>
          <w:color w:val="000000"/>
          <w:sz w:val="26"/>
          <w:szCs w:val="26"/>
        </w:rPr>
        <w:t>13. Can proposals target areas outside the defined “convergence zones”?</w:t>
      </w:r>
    </w:p>
    <w:p w:rsidR="00DC5C14" w:rsidRDefault="00000000" w14:paraId="64BAA969" w14:textId="77777777">
      <w:pPr>
        <w:spacing w:before="240" w:after="240" w:line="276" w:lineRule="auto"/>
      </w:pPr>
      <w:r>
        <w:t xml:space="preserve">No. As stated in Section 3.3 of the </w:t>
      </w:r>
      <w:proofErr w:type="spellStart"/>
      <w:r>
        <w:t>CfP</w:t>
      </w:r>
      <w:proofErr w:type="spellEnd"/>
      <w:r>
        <w:t>, interventions must take place within the validated geographic convergence areas (see Annex D).</w:t>
      </w:r>
    </w:p>
    <w:p w:rsidR="00DC5C14" w:rsidRDefault="00000000" w14:paraId="680200AD" w14:textId="77777777">
      <w:pPr>
        <w:spacing w:before="240" w:after="240" w:line="276" w:lineRule="auto"/>
      </w:pPr>
      <w:r>
        <w:t>Concentration in these zones promotes synergy, continuity, and scalability across partners.</w:t>
      </w:r>
    </w:p>
    <w:p w:rsidR="00DC5C14" w:rsidRDefault="00DC5C14" w14:paraId="2FE0DD64" w14:textId="77777777">
      <w:pPr>
        <w:spacing w:before="280" w:after="280" w:line="276" w:lineRule="auto"/>
      </w:pPr>
    </w:p>
    <w:p w:rsidR="00DC5C14" w:rsidRDefault="00000000" w14:paraId="609A186C" w14:textId="77777777">
      <w:pPr>
        <w:pStyle w:val="Heading3"/>
        <w:keepNext w:val="0"/>
        <w:keepLines w:val="0"/>
        <w:spacing w:before="280" w:line="276" w:lineRule="auto"/>
        <w:rPr>
          <w:b/>
          <w:color w:val="000000"/>
          <w:sz w:val="26"/>
          <w:szCs w:val="26"/>
        </w:rPr>
      </w:pPr>
      <w:bookmarkStart w:name="_heading=h.rwtgbr6jhb11" w:colFirst="0" w:colLast="0" w:id="12"/>
      <w:bookmarkEnd w:id="12"/>
      <w:r>
        <w:rPr>
          <w:b/>
          <w:color w:val="000000"/>
          <w:sz w:val="26"/>
          <w:szCs w:val="26"/>
        </w:rPr>
        <w:t>14. What defines a “national” versus an “international” CSO?</w:t>
      </w:r>
    </w:p>
    <w:p w:rsidR="00DC5C14" w:rsidRDefault="00000000" w14:paraId="12A7D1EF" w14:textId="77777777">
      <w:pPr>
        <w:spacing w:before="240" w:after="240" w:line="276" w:lineRule="auto"/>
      </w:pPr>
      <w:r>
        <w:t>For this Call, a national CSO is a locally registered, non-profit entity with a national governing board and independent financial management.</w:t>
      </w:r>
    </w:p>
    <w:p w:rsidR="00DC5C14" w:rsidRDefault="00000000" w14:paraId="4B2D8A7A" w14:textId="77777777">
      <w:pPr>
        <w:spacing w:before="240" w:after="240" w:line="276" w:lineRule="auto"/>
      </w:pPr>
      <w:r>
        <w:t>International NGOs are not considered national CSOs, even if they have a local office.</w:t>
      </w:r>
    </w:p>
    <w:p w:rsidR="00DC5C14" w:rsidRDefault="00000000" w14:paraId="2D263D31" w14:textId="77777777">
      <w:pPr>
        <w:pStyle w:val="Heading3"/>
        <w:keepNext w:val="0"/>
        <w:keepLines w:val="0"/>
        <w:spacing w:before="280" w:line="276" w:lineRule="auto"/>
        <w:rPr>
          <w:b/>
          <w:color w:val="000000"/>
          <w:sz w:val="26"/>
          <w:szCs w:val="26"/>
        </w:rPr>
      </w:pPr>
      <w:bookmarkStart w:name="_heading=h.fo3ytkw0lbm1" w:colFirst="0" w:colLast="0" w:id="13"/>
      <w:bookmarkEnd w:id="13"/>
      <w:r>
        <w:rPr>
          <w:b/>
          <w:color w:val="000000"/>
          <w:sz w:val="26"/>
          <w:szCs w:val="26"/>
        </w:rPr>
        <w:t>15. What if the same organization is registered in both Cameroon and Chad?</w:t>
      </w:r>
    </w:p>
    <w:p w:rsidR="00DC5C14" w:rsidRDefault="00000000" w14:paraId="2F065698" w14:textId="77777777">
      <w:pPr>
        <w:spacing w:before="240" w:after="240" w:line="276" w:lineRule="auto"/>
      </w:pPr>
      <w:r>
        <w:t>If legally distinct entities exist in both countries, each can be treated as a separate national organization.</w:t>
      </w:r>
    </w:p>
    <w:p w:rsidR="00DC5C14" w:rsidRDefault="00000000" w14:paraId="2134DE3C" w14:textId="77777777">
      <w:pPr>
        <w:spacing w:before="240" w:after="240" w:line="276" w:lineRule="auto"/>
      </w:pPr>
      <w:r>
        <w:t>They may therefore participate in one consortium per country, provided they meet the eligibility criteria.</w:t>
      </w:r>
    </w:p>
    <w:p w:rsidR="00DC5C14" w:rsidRDefault="00000000" w14:paraId="043E758C" w14:textId="77777777">
      <w:pPr>
        <w:pStyle w:val="Heading3"/>
        <w:keepNext w:val="0"/>
        <w:keepLines w:val="0"/>
        <w:spacing w:before="280" w:line="276" w:lineRule="auto"/>
        <w:rPr>
          <w:b/>
          <w:color w:val="000000"/>
          <w:sz w:val="26"/>
          <w:szCs w:val="26"/>
        </w:rPr>
      </w:pPr>
      <w:bookmarkStart w:name="_heading=h.jch18jjtl07n" w:colFirst="0" w:colLast="0" w:id="14"/>
      <w:bookmarkEnd w:id="14"/>
      <w:r>
        <w:rPr>
          <w:b/>
          <w:color w:val="000000"/>
          <w:sz w:val="26"/>
          <w:szCs w:val="26"/>
        </w:rPr>
        <w:t>16. In which language should proposals be submitted, and who should send them?</w:t>
      </w:r>
    </w:p>
    <w:p w:rsidR="00DC5C14" w:rsidRDefault="00000000" w14:paraId="6B3035DA" w14:textId="77777777">
      <w:pPr>
        <w:spacing w:before="240" w:after="240" w:line="276" w:lineRule="auto"/>
      </w:pPr>
      <w:r>
        <w:t>Proposals may be submitted in English or French.</w:t>
      </w:r>
    </w:p>
    <w:p w:rsidR="00DC5C14" w:rsidRDefault="00000000" w14:paraId="338EDCAA" w14:textId="77777777">
      <w:pPr>
        <w:spacing w:before="240" w:after="240" w:line="276" w:lineRule="auto"/>
      </w:pPr>
      <w:r>
        <w:t>The lead organization submits the application on behalf of the consortium, using the official templates (Concept Note in Word, Budget in Excel).</w:t>
      </w:r>
    </w:p>
    <w:p w:rsidR="00DC5C14" w:rsidRDefault="00DC5C14" w14:paraId="0AB431F7" w14:textId="77777777">
      <w:pPr>
        <w:spacing w:before="280" w:after="280" w:line="276" w:lineRule="auto"/>
      </w:pPr>
    </w:p>
    <w:p w:rsidR="00DC5C14" w:rsidRDefault="00000000" w14:paraId="3DED79CB" w14:textId="77777777">
      <w:pPr>
        <w:pStyle w:val="Heading3"/>
        <w:keepNext w:val="0"/>
        <w:keepLines w:val="0"/>
        <w:spacing w:before="280" w:line="276" w:lineRule="auto"/>
        <w:rPr>
          <w:b/>
          <w:color w:val="000000"/>
          <w:sz w:val="26"/>
          <w:szCs w:val="26"/>
        </w:rPr>
      </w:pPr>
      <w:bookmarkStart w:name="_heading=h.674rsn6fuk3h" w:colFirst="0" w:colLast="0" w:id="15"/>
      <w:bookmarkEnd w:id="15"/>
      <w:r>
        <w:rPr>
          <w:b/>
          <w:color w:val="000000"/>
          <w:sz w:val="26"/>
          <w:szCs w:val="26"/>
        </w:rPr>
        <w:t>17. Must a UN agency be part of a consortium?</w:t>
      </w:r>
    </w:p>
    <w:p w:rsidR="00DC5C14" w:rsidRDefault="00000000" w14:paraId="5A6628E7" w14:textId="77777777">
      <w:pPr>
        <w:spacing w:before="240" w:after="240" w:line="276" w:lineRule="auto"/>
      </w:pPr>
      <w:r>
        <w:t>No. The inclusion of a UN agency is not mandatory.</w:t>
      </w:r>
    </w:p>
    <w:p w:rsidR="00DC5C14" w:rsidRDefault="00000000" w14:paraId="1C3BFCB0" w14:textId="77777777">
      <w:pPr>
        <w:spacing w:before="240" w:after="240" w:line="276" w:lineRule="auto"/>
      </w:pPr>
      <w:r>
        <w:t xml:space="preserve">The only requirement is that at least one national CSO participates as a consortium member in line with the </w:t>
      </w:r>
      <w:proofErr w:type="spellStart"/>
      <w:r>
        <w:t>CfP</w:t>
      </w:r>
      <w:proofErr w:type="spellEnd"/>
      <w:r>
        <w:t xml:space="preserve"> eligibility rules.</w:t>
      </w:r>
    </w:p>
    <w:p w:rsidR="00DC5C14" w:rsidRDefault="00DC5C14" w14:paraId="4459AC73" w14:textId="77777777">
      <w:pPr>
        <w:spacing w:before="280" w:after="280" w:line="276" w:lineRule="auto"/>
      </w:pPr>
    </w:p>
    <w:p w:rsidR="00DC5C14" w:rsidRDefault="00000000" w14:paraId="3F39A0AD" w14:textId="77777777">
      <w:pPr>
        <w:pStyle w:val="Heading3"/>
        <w:keepNext w:val="0"/>
        <w:keepLines w:val="0"/>
        <w:spacing w:before="280" w:line="276" w:lineRule="auto"/>
        <w:rPr>
          <w:b/>
          <w:color w:val="000000"/>
          <w:sz w:val="26"/>
          <w:szCs w:val="26"/>
        </w:rPr>
      </w:pPr>
      <w:bookmarkStart w:name="_heading=h.2yhhmxbq4sm6" w:colFirst="0" w:colLast="0" w:id="16"/>
      <w:bookmarkEnd w:id="16"/>
      <w:r>
        <w:rPr>
          <w:b/>
          <w:color w:val="000000"/>
          <w:sz w:val="26"/>
          <w:szCs w:val="26"/>
        </w:rPr>
        <w:t>18. Will future Calls for Proposals include other countries?</w:t>
      </w:r>
    </w:p>
    <w:p w:rsidR="00DC5C14" w:rsidRDefault="00000000" w14:paraId="20D5F214" w14:textId="77777777">
      <w:pPr>
        <w:spacing w:before="240" w:after="240" w:line="276" w:lineRule="auto"/>
        <w:rPr>
          <w:b/>
          <w:color w:val="000000"/>
          <w:sz w:val="34"/>
          <w:szCs w:val="34"/>
        </w:rPr>
      </w:pPr>
      <w:r>
        <w:t xml:space="preserve">Possibly. The NFF Regional Board will review performance and context in early 2026 and may decide to expand the Facility to </w:t>
      </w:r>
      <w:r>
        <w:rPr>
          <w:b/>
        </w:rPr>
        <w:t>Nigeria and/or Niger</w:t>
      </w:r>
      <w:r>
        <w:t xml:space="preserve"> through a new Call for Proposals.</w:t>
      </w:r>
    </w:p>
    <w:p w:rsidR="00DC5C14" w:rsidRDefault="00000000" w14:paraId="4AB4ABF4" w14:textId="77777777">
      <w:pPr>
        <w:pStyle w:val="Heading3"/>
        <w:keepNext w:val="0"/>
        <w:keepLines w:val="0"/>
        <w:spacing w:before="280" w:line="276" w:lineRule="auto"/>
        <w:rPr>
          <w:b/>
          <w:color w:val="000000"/>
          <w:sz w:val="26"/>
          <w:szCs w:val="26"/>
        </w:rPr>
      </w:pPr>
      <w:bookmarkStart w:name="_heading=h.p1ykhd29vf9k" w:colFirst="0" w:colLast="0" w:id="17"/>
      <w:bookmarkEnd w:id="17"/>
      <w:r>
        <w:rPr>
          <w:b/>
          <w:color w:val="000000"/>
          <w:sz w:val="26"/>
          <w:szCs w:val="26"/>
        </w:rPr>
        <w:t>19. What costs are eligible under NFF funding?</w:t>
      </w:r>
    </w:p>
    <w:p w:rsidR="00DC5C14" w:rsidRDefault="00000000" w14:paraId="10357C72" w14:textId="77777777">
      <w:pPr>
        <w:spacing w:before="240" w:after="240" w:line="276" w:lineRule="auto"/>
      </w:pPr>
      <w:r>
        <w:t xml:space="preserve">Eligible costs typically include </w:t>
      </w:r>
      <w:r>
        <w:rPr>
          <w:b/>
        </w:rPr>
        <w:t>personnel, direct activity costs, travel, monitoring and evaluation, equipment, and administrative expenses</w:t>
      </w:r>
      <w:r>
        <w:t xml:space="preserve"> (within the ceiling specified in the </w:t>
      </w:r>
      <w:proofErr w:type="spellStart"/>
      <w:r>
        <w:t>CfP</w:t>
      </w:r>
      <w:proofErr w:type="spellEnd"/>
      <w:r>
        <w:t>).</w:t>
      </w:r>
    </w:p>
    <w:p w:rsidR="00DC5C14" w:rsidRDefault="00000000" w14:paraId="6EF3DBDB" w14:textId="77777777">
      <w:pPr>
        <w:spacing w:before="240" w:after="240" w:line="276" w:lineRule="auto"/>
      </w:pPr>
      <w:r>
        <w:t xml:space="preserve">Ineligible costs include debts, land purchase, or costs covered by other donors. </w:t>
      </w:r>
    </w:p>
    <w:p w:rsidR="00DC5C14" w:rsidRDefault="00000000" w14:paraId="1C46547A" w14:textId="77777777">
      <w:pPr>
        <w:pStyle w:val="Heading3"/>
        <w:keepNext w:val="0"/>
        <w:keepLines w:val="0"/>
        <w:spacing w:before="280" w:line="276" w:lineRule="auto"/>
        <w:rPr>
          <w:b/>
          <w:color w:val="000000"/>
          <w:sz w:val="26"/>
          <w:szCs w:val="26"/>
        </w:rPr>
      </w:pPr>
      <w:bookmarkStart w:name="_heading=h.apo0vricnrs8" w:colFirst="0" w:colLast="0" w:id="18"/>
      <w:bookmarkEnd w:id="18"/>
      <w:r>
        <w:rPr>
          <w:b/>
          <w:color w:val="000000"/>
          <w:sz w:val="26"/>
          <w:szCs w:val="26"/>
        </w:rPr>
        <w:t>20. How are payments disbursed?</w:t>
      </w:r>
    </w:p>
    <w:p w:rsidR="00DC5C14" w:rsidRDefault="00000000" w14:paraId="51237FCC" w14:textId="77777777">
      <w:pPr>
        <w:spacing w:before="240" w:after="240" w:line="276" w:lineRule="auto"/>
      </w:pPr>
      <w:r>
        <w:t xml:space="preserve">Payments are generally made in several tranches to be defined jointly with UNDP in the second stage of the application and linked to agreed </w:t>
      </w:r>
      <w:r>
        <w:rPr>
          <w:b/>
        </w:rPr>
        <w:t>milestones</w:t>
      </w:r>
      <w:r>
        <w:t xml:space="preserve"> and submission of satisfactory progress and financial reports.</w:t>
      </w:r>
    </w:p>
    <w:p w:rsidR="00DC5C14" w:rsidRDefault="00000000" w14:paraId="59EA86C8" w14:textId="77777777">
      <w:pPr>
        <w:pStyle w:val="Heading3"/>
        <w:keepNext w:val="0"/>
        <w:keepLines w:val="0"/>
        <w:spacing w:before="280" w:line="276" w:lineRule="auto"/>
        <w:rPr>
          <w:b/>
          <w:color w:val="000000"/>
          <w:sz w:val="26"/>
          <w:szCs w:val="26"/>
        </w:rPr>
      </w:pPr>
      <w:bookmarkStart w:name="_heading=h.wgfe0ul6mmo7" w:colFirst="0" w:colLast="0" w:id="19"/>
      <w:bookmarkEnd w:id="19"/>
      <w:r>
        <w:rPr>
          <w:b/>
          <w:color w:val="000000"/>
          <w:sz w:val="26"/>
          <w:szCs w:val="26"/>
        </w:rPr>
        <w:t>21. What monitoring and reporting are required?</w:t>
      </w:r>
    </w:p>
    <w:p w:rsidR="00DC5C14" w:rsidRDefault="00000000" w14:paraId="1541800C" w14:textId="77777777">
      <w:pPr>
        <w:spacing w:before="240" w:after="240" w:line="276" w:lineRule="auto"/>
      </w:pPr>
      <w:r>
        <w:t xml:space="preserve">Consortia will be required to submit </w:t>
      </w:r>
      <w:r>
        <w:rPr>
          <w:b/>
        </w:rPr>
        <w:t>regular progress reports</w:t>
      </w:r>
      <w:r>
        <w:t>, including both narrative and financial updates, aligned with the NFF Results Framework. Details will be clarified in Stage 2 of the application</w:t>
      </w:r>
    </w:p>
    <w:p w:rsidR="00DC5C14" w:rsidRDefault="00000000" w14:paraId="0CDA1A97" w14:textId="77777777">
      <w:pPr>
        <w:spacing w:before="240" w:after="240" w:line="276" w:lineRule="auto"/>
      </w:pPr>
      <w:r>
        <w:t>Field monitoring visits may be conducted jointly by the Secretariat and national partners.</w:t>
      </w:r>
    </w:p>
    <w:p w:rsidR="00DC5C14" w:rsidRDefault="00000000" w14:paraId="263AB83F" w14:textId="77777777">
      <w:pPr>
        <w:pStyle w:val="Heading3"/>
        <w:keepNext w:val="0"/>
        <w:keepLines w:val="0"/>
        <w:spacing w:before="280" w:line="276" w:lineRule="auto"/>
        <w:rPr>
          <w:b/>
          <w:color w:val="000000"/>
          <w:sz w:val="26"/>
          <w:szCs w:val="26"/>
        </w:rPr>
      </w:pPr>
      <w:bookmarkStart w:name="_heading=h.uqk5v38pb9l" w:colFirst="0" w:colLast="0" w:id="20"/>
      <w:bookmarkEnd w:id="20"/>
      <w:r>
        <w:rPr>
          <w:b/>
          <w:color w:val="000000"/>
          <w:sz w:val="26"/>
          <w:szCs w:val="26"/>
        </w:rPr>
        <w:t>22. What is the Independent Technical Review Committee (ITRC)?</w:t>
      </w:r>
    </w:p>
    <w:p w:rsidR="00DC5C14" w:rsidRDefault="00000000" w14:paraId="35BB14DD" w14:textId="77777777">
      <w:pPr>
        <w:spacing w:before="240" w:after="240" w:line="276" w:lineRule="auto"/>
      </w:pPr>
      <w:r>
        <w:t xml:space="preserve">The ITRC is an independent body of </w:t>
      </w:r>
      <w:r>
        <w:rPr>
          <w:b/>
        </w:rPr>
        <w:t>regional experts in stabilization, peacebuilding, and resilience</w:t>
      </w:r>
      <w:r>
        <w:t>.</w:t>
      </w:r>
    </w:p>
    <w:p w:rsidR="00DC5C14" w:rsidRDefault="00000000" w14:paraId="651C432A" w14:textId="77777777">
      <w:pPr>
        <w:spacing w:before="240" w:after="240" w:line="276" w:lineRule="auto"/>
      </w:pPr>
      <w:r>
        <w:t xml:space="preserve">It ensures the </w:t>
      </w:r>
      <w:r>
        <w:rPr>
          <w:b/>
        </w:rPr>
        <w:t>technical integrity and transparency</w:t>
      </w:r>
      <w:r>
        <w:t xml:space="preserve"> of proposal assessments and provides recommendations to the Regional Board.</w:t>
      </w:r>
    </w:p>
    <w:p w:rsidRPr="0045021E" w:rsidR="0045021E" w:rsidP="0045021E" w:rsidRDefault="0045021E" w14:paraId="2AD512D6" w14:textId="32175BE1">
      <w:pPr>
        <w:spacing w:before="240" w:after="240" w:line="276" w:lineRule="auto"/>
        <w:rPr>
          <w:b/>
          <w:bCs/>
          <w:sz w:val="26"/>
          <w:szCs w:val="26"/>
        </w:rPr>
      </w:pPr>
      <w:r w:rsidRPr="0045021E">
        <w:rPr>
          <w:b/>
          <w:bCs/>
          <w:sz w:val="26"/>
          <w:szCs w:val="26"/>
        </w:rPr>
        <w:t xml:space="preserve">23. </w:t>
      </w:r>
      <w:r w:rsidRPr="0045021E">
        <w:rPr>
          <w:b/>
          <w:bCs/>
          <w:sz w:val="26"/>
          <w:szCs w:val="26"/>
          <w:lang w:val="en-US"/>
        </w:rPr>
        <w:t xml:space="preserve"> What has changed in the overall funding envelope and ceilings?</w:t>
      </w:r>
    </w:p>
    <w:p w:rsidRPr="0045021E" w:rsidR="0045021E" w:rsidP="0045021E" w:rsidRDefault="0045021E" w14:paraId="013F5A13" w14:textId="4B0F3FAA">
      <w:pPr>
        <w:spacing w:before="240" w:after="240" w:line="276" w:lineRule="auto"/>
        <w:rPr>
          <w:lang w:val="en-US"/>
        </w:rPr>
      </w:pPr>
      <w:r w:rsidRPr="0045021E">
        <w:rPr>
          <w:lang w:val="en-US"/>
        </w:rPr>
        <w:t xml:space="preserve">The maximum ceiling per project proposal/consortium has been adjusted to USD 2.5 million (previously USD 2.9 million). The overall available envelope for successful project ideas across Cameroon and Chad has increased from USD 5.8 million to USD 5.9 million. Of this, USD 5.0 million is allocated to fund selected projects, while USD 900,000 is </w:t>
      </w:r>
      <w:r w:rsidRPr="0045021E">
        <w:rPr>
          <w:lang w:val="en-US"/>
        </w:rPr>
        <w:t>retained to support higher budget ceilings for qualified local NGOs within shortlisted consortia.</w:t>
      </w:r>
    </w:p>
    <w:p w:rsidRPr="0045021E" w:rsidR="0045021E" w:rsidP="0045021E" w:rsidRDefault="0045021E" w14:paraId="766F3E26" w14:textId="3A041E68">
      <w:pPr>
        <w:spacing w:before="240" w:after="240" w:line="276" w:lineRule="auto"/>
        <w:rPr>
          <w:b/>
          <w:bCs/>
          <w:sz w:val="26"/>
          <w:szCs w:val="26"/>
          <w:lang w:val="en-US"/>
        </w:rPr>
      </w:pPr>
      <w:r w:rsidRPr="0045021E">
        <w:rPr>
          <w:b/>
          <w:bCs/>
          <w:sz w:val="26"/>
          <w:szCs w:val="26"/>
          <w:lang w:val="en-US"/>
        </w:rPr>
        <w:t xml:space="preserve">24. </w:t>
      </w:r>
      <w:r w:rsidRPr="0045021E">
        <w:rPr>
          <w:b/>
          <w:bCs/>
          <w:sz w:val="26"/>
          <w:szCs w:val="26"/>
          <w:lang w:val="en-US"/>
        </w:rPr>
        <w:t>Why were these adjustments made?</w:t>
      </w:r>
    </w:p>
    <w:p w:rsidRPr="0045021E" w:rsidR="0045021E" w:rsidP="0045021E" w:rsidRDefault="0045021E" w14:paraId="24B0414D" w14:textId="0813544C">
      <w:pPr>
        <w:spacing w:before="240" w:after="240" w:line="276" w:lineRule="auto"/>
        <w:rPr>
          <w:lang w:val="en-US"/>
        </w:rPr>
      </w:pPr>
      <w:r w:rsidRPr="0045021E">
        <w:rPr>
          <w:lang w:val="en-US"/>
        </w:rPr>
        <w:t>To maximize flexibility and strengthen localization outcomes by enabling capable local NGOs to manage larger budgets where appropriate, while maintaining a robust overall envelope for both country portfolios.</w:t>
      </w:r>
    </w:p>
    <w:p w:rsidRPr="0045021E" w:rsidR="0045021E" w:rsidP="0045021E" w:rsidRDefault="0045021E" w14:paraId="18C5F1D4" w14:textId="77777777">
      <w:pPr>
        <w:spacing w:before="240" w:after="240" w:line="276" w:lineRule="auto"/>
        <w:rPr>
          <w:lang w:val="en-US"/>
        </w:rPr>
      </w:pPr>
    </w:p>
    <w:p w:rsidRPr="0045021E" w:rsidR="0045021E" w:rsidP="0045021E" w:rsidRDefault="0045021E" w14:paraId="7CDB1719" w14:textId="55D67740">
      <w:pPr>
        <w:spacing w:before="240" w:after="240" w:line="276" w:lineRule="auto"/>
        <w:rPr>
          <w:b/>
          <w:bCs/>
          <w:sz w:val="26"/>
          <w:szCs w:val="26"/>
          <w:lang w:val="en-US"/>
        </w:rPr>
      </w:pPr>
      <w:r w:rsidRPr="0045021E">
        <w:rPr>
          <w:b/>
          <w:bCs/>
          <w:sz w:val="26"/>
          <w:szCs w:val="26"/>
          <w:lang w:val="en-US"/>
        </w:rPr>
        <w:t xml:space="preserve">25. </w:t>
      </w:r>
      <w:r w:rsidRPr="0045021E">
        <w:rPr>
          <w:b/>
          <w:bCs/>
          <w:sz w:val="26"/>
          <w:szCs w:val="26"/>
          <w:lang w:val="en-US"/>
        </w:rPr>
        <w:t>How does the USD 900,000 “localization reserve” work?</w:t>
      </w:r>
    </w:p>
    <w:p w:rsidRPr="0045021E" w:rsidR="0045021E" w:rsidP="0045021E" w:rsidRDefault="0045021E" w14:paraId="7C12060D" w14:textId="77777777">
      <w:pPr>
        <w:spacing w:before="240" w:after="240" w:line="276" w:lineRule="auto"/>
        <w:rPr>
          <w:lang w:val="en-US"/>
        </w:rPr>
      </w:pPr>
      <w:r w:rsidRPr="0045021E">
        <w:rPr>
          <w:lang w:val="en-US"/>
        </w:rPr>
        <w:t>A. Shortlisted local NGOs may request budgets above the indicative USD 150,000 ceiling if they demonstrate adequate capacity through:</w:t>
      </w:r>
    </w:p>
    <w:p w:rsidRPr="0045021E" w:rsidR="0045021E" w:rsidP="0045021E" w:rsidRDefault="0045021E" w14:paraId="5A7F172F" w14:textId="77777777">
      <w:pPr>
        <w:spacing w:before="240" w:after="240" w:line="276" w:lineRule="auto"/>
        <w:rPr>
          <w:lang w:val="en-US"/>
        </w:rPr>
      </w:pPr>
      <w:r w:rsidRPr="0045021E">
        <w:rPr>
          <w:lang w:val="en-US"/>
        </w:rPr>
        <w:tab/>
      </w:r>
      <w:r w:rsidRPr="0045021E">
        <w:rPr>
          <w:lang w:val="en-US"/>
        </w:rPr>
        <w:t>•</w:t>
      </w:r>
      <w:r w:rsidRPr="0045021E">
        <w:rPr>
          <w:lang w:val="en-US"/>
        </w:rPr>
        <w:tab/>
      </w:r>
      <w:r w:rsidRPr="0045021E">
        <w:rPr>
          <w:lang w:val="en-US"/>
        </w:rPr>
        <w:t>an existing HACT rating submitted at the concept-note stage; or</w:t>
      </w:r>
    </w:p>
    <w:p w:rsidRPr="0045021E" w:rsidR="0045021E" w:rsidP="0045021E" w:rsidRDefault="0045021E" w14:paraId="71087A0A" w14:textId="1FA9BE60">
      <w:pPr>
        <w:spacing w:before="240" w:after="240" w:line="276" w:lineRule="auto"/>
        <w:rPr>
          <w:lang w:val="en-US"/>
        </w:rPr>
      </w:pPr>
      <w:r w:rsidRPr="0045021E">
        <w:rPr>
          <w:lang w:val="en-US"/>
        </w:rPr>
        <w:tab/>
      </w:r>
      <w:r w:rsidRPr="0045021E">
        <w:rPr>
          <w:lang w:val="en-US"/>
        </w:rPr>
        <w:t>•</w:t>
      </w:r>
      <w:r w:rsidRPr="0045021E">
        <w:rPr>
          <w:lang w:val="en-US"/>
        </w:rPr>
        <w:tab/>
      </w:r>
      <w:r w:rsidRPr="0045021E">
        <w:rPr>
          <w:lang w:val="en-US"/>
        </w:rPr>
        <w:t>a HACT assessment commissioned by UNDP if no current rating exists.</w:t>
      </w:r>
    </w:p>
    <w:p w:rsidRPr="0045021E" w:rsidR="0045021E" w:rsidP="0045021E" w:rsidRDefault="0045021E" w14:paraId="6D3EB7C2" w14:textId="77777777">
      <w:pPr>
        <w:spacing w:before="240" w:after="240" w:line="276" w:lineRule="auto"/>
        <w:rPr>
          <w:lang w:val="en-US"/>
        </w:rPr>
      </w:pPr>
      <w:r w:rsidRPr="0045021E">
        <w:rPr>
          <w:lang w:val="en-US"/>
        </w:rPr>
        <w:t>Any potential increase of the ceiling will be discussed and negotiated during Stage 2 (Full Proposal development), based on the results of the HACT assessment and informed by recommendations from the Independent Technical Review Committee (ITRC). The final decision will be taken by UNDP as Fund Manager, in consultation with the NFF Secretariat.</w:t>
      </w:r>
    </w:p>
    <w:p w:rsidRPr="0045021E" w:rsidR="0045021E" w:rsidP="0045021E" w:rsidRDefault="0045021E" w14:paraId="1A1C7D7F" w14:textId="77777777">
      <w:pPr>
        <w:spacing w:before="240" w:after="240" w:line="276" w:lineRule="auto"/>
        <w:rPr>
          <w:lang w:val="en-US"/>
        </w:rPr>
      </w:pPr>
    </w:p>
    <w:p w:rsidRPr="0045021E" w:rsidR="0045021E" w:rsidP="0045021E" w:rsidRDefault="0045021E" w14:paraId="520739E4" w14:textId="12A10187">
      <w:pPr>
        <w:spacing w:before="240" w:after="240" w:line="276" w:lineRule="auto"/>
        <w:rPr>
          <w:b/>
          <w:bCs/>
          <w:sz w:val="26"/>
          <w:szCs w:val="26"/>
          <w:lang w:val="en-US"/>
        </w:rPr>
      </w:pPr>
      <w:r w:rsidRPr="0045021E">
        <w:rPr>
          <w:b/>
          <w:bCs/>
          <w:sz w:val="26"/>
          <w:szCs w:val="26"/>
          <w:lang w:val="en-US"/>
        </w:rPr>
        <w:t>26</w:t>
      </w:r>
      <w:r w:rsidRPr="0045021E">
        <w:rPr>
          <w:b/>
          <w:bCs/>
          <w:sz w:val="26"/>
          <w:szCs w:val="26"/>
          <w:lang w:val="en-US"/>
        </w:rPr>
        <w:t>. Does this change the indicative USD 150,000 ceiling for local NGOs?</w:t>
      </w:r>
    </w:p>
    <w:p w:rsidRPr="0045021E" w:rsidR="0045021E" w:rsidP="0045021E" w:rsidRDefault="0045021E" w14:paraId="3BB8AE18" w14:textId="107BBE1C">
      <w:pPr>
        <w:spacing w:before="240" w:after="240" w:line="276" w:lineRule="auto"/>
        <w:rPr>
          <w:lang w:val="en-US"/>
        </w:rPr>
      </w:pPr>
      <w:r w:rsidRPr="0045021E">
        <w:rPr>
          <w:lang w:val="en-US"/>
        </w:rPr>
        <w:t>A. The indicative ceiling remains the general reference point, but the localization reserve (USD 900,000) allows case-by-case increases for local NGOs that meet the required HACT capacity standards.</w:t>
      </w:r>
    </w:p>
    <w:p w:rsidRPr="0045021E" w:rsidR="00DC5C14" w:rsidRDefault="00000000" w14:paraId="08499D25" w14:textId="567D6D8F">
      <w:pPr>
        <w:pStyle w:val="Heading3"/>
        <w:keepNext w:val="0"/>
        <w:keepLines w:val="0"/>
        <w:spacing w:before="280" w:line="276" w:lineRule="auto"/>
        <w:rPr>
          <w:b/>
          <w:color w:val="000000"/>
          <w:sz w:val="26"/>
          <w:szCs w:val="26"/>
        </w:rPr>
      </w:pPr>
      <w:bookmarkStart w:name="_heading=h.xwk8e3anv3ml" w:colFirst="0" w:colLast="0" w:id="21"/>
      <w:bookmarkEnd w:id="21"/>
      <w:r w:rsidRPr="0045021E">
        <w:rPr>
          <w:b/>
          <w:color w:val="000000"/>
          <w:sz w:val="26"/>
          <w:szCs w:val="26"/>
        </w:rPr>
        <w:t>2</w:t>
      </w:r>
      <w:r w:rsidRPr="0045021E" w:rsidR="0045021E">
        <w:rPr>
          <w:b/>
          <w:color w:val="000000"/>
          <w:sz w:val="26"/>
          <w:szCs w:val="26"/>
        </w:rPr>
        <w:t>8</w:t>
      </w:r>
      <w:r w:rsidRPr="0045021E">
        <w:rPr>
          <w:b/>
          <w:color w:val="000000"/>
          <w:sz w:val="26"/>
          <w:szCs w:val="26"/>
        </w:rPr>
        <w:t>. How can applicants stay informed?</w:t>
      </w:r>
    </w:p>
    <w:p w:rsidR="00DC5C14" w:rsidRDefault="00000000" w14:paraId="0B1E43BA" w14:textId="77777777">
      <w:pPr>
        <w:spacing w:before="240" w:after="240" w:line="276" w:lineRule="auto"/>
      </w:pPr>
      <w:r>
        <w:t xml:space="preserve">Applicants can join the </w:t>
      </w:r>
      <w:r>
        <w:rPr>
          <w:b/>
        </w:rPr>
        <w:t>NFF mailing list</w:t>
      </w:r>
      <w:r>
        <w:t xml:space="preserve"> to receive updates on Calls for Proposals, webinars, and guidance materials.</w:t>
      </w:r>
    </w:p>
    <w:p w:rsidR="00DC5C14" w:rsidRDefault="00000000" w14:paraId="2318DB4A" w14:textId="77777777">
      <w:pPr>
        <w:spacing w:before="240" w:after="240" w:line="276" w:lineRule="auto"/>
      </w:pPr>
      <w:r>
        <w:t xml:space="preserve">To subscribe, send an email to </w:t>
      </w:r>
      <w:r>
        <w:rPr>
          <w:b/>
        </w:rPr>
        <w:t>secretariat.nff@undp.org</w:t>
      </w:r>
      <w:r>
        <w:t xml:space="preserve"> with the subject line </w:t>
      </w:r>
      <w:r>
        <w:rPr>
          <w:i/>
        </w:rPr>
        <w:t>“Subscribe – NFF Mailing List”</w:t>
      </w:r>
      <w:r>
        <w:t>.</w:t>
      </w:r>
    </w:p>
    <w:p w:rsidR="00DC5C14" w:rsidRDefault="00DC5C14" w14:paraId="0BA15983" w14:textId="77777777">
      <w:pPr>
        <w:pBdr>
          <w:top w:val="nil"/>
          <w:left w:val="nil"/>
          <w:bottom w:val="nil"/>
          <w:right w:val="nil"/>
          <w:between w:val="nil"/>
        </w:pBdr>
        <w:spacing w:before="280" w:after="280" w:line="276" w:lineRule="auto"/>
      </w:pPr>
    </w:p>
    <w:p w:rsidR="00DC5C14" w:rsidRDefault="00000000" w14:paraId="47F3AFD6" w14:textId="77777777">
      <w:pPr>
        <w:spacing w:before="280" w:after="280" w:line="276" w:lineRule="auto"/>
        <w:rPr>
          <w:b/>
          <w:sz w:val="36"/>
          <w:szCs w:val="36"/>
        </w:rPr>
      </w:pPr>
      <w:r>
        <w:rPr>
          <w:b/>
          <w:sz w:val="36"/>
          <w:szCs w:val="36"/>
        </w:rPr>
        <w:t>Where can I get help with my application?</w:t>
      </w:r>
    </w:p>
    <w:p w:rsidR="00DC5C14" w:rsidRDefault="00000000" w14:paraId="6AAD75E3" w14:textId="77777777">
      <w:pPr>
        <w:spacing w:before="280" w:after="280" w:line="276" w:lineRule="auto"/>
      </w:pPr>
      <w:r>
        <w:t xml:space="preserve">Applicants are encouraged to attend information sessions organized by the NFF Secretariat ahead of the publication of the Call for Proposals and reach out via the NFF email </w:t>
      </w:r>
      <w:hyperlink r:id="rId10">
        <w:r>
          <w:rPr>
            <w:color w:val="0000FF"/>
            <w:u w:val="single"/>
          </w:rPr>
          <w:t>secretariat.nff@undp.org</w:t>
        </w:r>
      </w:hyperlink>
      <w:r>
        <w:t xml:space="preserve"> for support on eligibility, consortia requirements, and technical questions. </w:t>
      </w:r>
    </w:p>
    <w:p w:rsidR="00DC5C14" w:rsidRDefault="00DC5C14" w14:paraId="1B907ACE" w14:textId="77777777">
      <w:pPr>
        <w:pBdr>
          <w:top w:val="nil"/>
          <w:left w:val="nil"/>
          <w:bottom w:val="nil"/>
          <w:right w:val="nil"/>
          <w:between w:val="nil"/>
        </w:pBdr>
        <w:spacing w:line="240" w:lineRule="auto"/>
        <w:rPr>
          <w:b/>
          <w:color w:val="EE0000"/>
        </w:rPr>
      </w:pPr>
    </w:p>
    <w:sectPr w:rsidR="00DC5C14">
      <w:pgSz w:w="12240" w:h="15840" w:orient="portrait"/>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w:fontKey="{2A460F99-CB7D-5843-A999-0D1EE1B70009}" r:id="rId1"/>
    <w:embedBold w:fontKey="{EE0E8E6E-5A20-C34C-810D-F1EC5A618E4B}" r:id="rId2"/>
    <w:embedItalic w:fontKey="{63B03C75-1203-AD4B-92FC-8EA5837FE37F}" r:id="rId3"/>
  </w:font>
  <w:font w:name="Noto Sans Symbols">
    <w:altName w:val="Calibri"/>
    <w:panose1 w:val="020B0604020202020204"/>
    <w:charset w:val="00"/>
    <w:family w:val="auto"/>
    <w:pitch w:val="default"/>
    <w:embedRegular w:fontKey="{D5378805-0957-8F46-AE28-2C8E9AA89D38}" r:id="rId4"/>
  </w:font>
  <w:font w:name="Courier New">
    <w:panose1 w:val="02070309020205020404"/>
    <w:charset w:val="00"/>
    <w:family w:val="modern"/>
    <w:pitch w:val="fixed"/>
    <w:sig w:usb0="E0002EFF" w:usb1="C0007843" w:usb2="00000009" w:usb3="00000000" w:csb0="000001FF" w:csb1="00000000"/>
    <w:embedRegular w:fontKey="{0ADA7334-86BA-2343-B7F4-9E3A9C5D478D}" r:id="rId5"/>
  </w:font>
  <w:font w:name="Aptos">
    <w:panose1 w:val="020B0004020202020204"/>
    <w:charset w:val="00"/>
    <w:family w:val="swiss"/>
    <w:pitch w:val="variable"/>
    <w:sig w:usb0="20000287" w:usb1="00000003" w:usb2="00000000" w:usb3="00000000" w:csb0="0000019F" w:csb1="00000000"/>
    <w:embedRegular w:fontKey="{4FF2A900-054E-4940-87DE-A15C722AB872}" r:id="rId6"/>
    <w:embedBold w:fontKey="{253BAE22-00B1-D84F-BE07-50789E4153EF}" r:id="rId7"/>
    <w:embedItalic w:fontKey="{BF7EF543-137F-3646-8FF2-924925FEB81D}" r:id="rId8"/>
  </w:font>
  <w:font w:name="Play">
    <w:charset w:val="00"/>
    <w:family w:val="auto"/>
    <w:pitch w:val="default"/>
    <w:embedRegular w:fontKey="{7D9E0A2B-CE65-1840-9153-53AC0033620A}" r:id="rId9"/>
    <w:embedBold w:fontKey="{FAB1ED33-8224-DB45-8D44-AE2876216471}" r:id="rId10"/>
  </w:font>
  <w:font w:name="Aptos Display">
    <w:panose1 w:val="020B0004020202020204"/>
    <w:charset w:val="00"/>
    <w:family w:val="swiss"/>
    <w:pitch w:val="variable"/>
    <w:sig w:usb0="20000287" w:usb1="00000003" w:usb2="00000000" w:usb3="00000000" w:csb0="0000019F" w:csb1="00000000"/>
    <w:embedRegular w:fontKey="{9709FA0A-7867-2846-A46B-B0A6FBC9488F}" r:id="rId1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FB65A9"/>
    <w:multiLevelType w:val="multilevel"/>
    <w:tmpl w:val="A59832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656895"/>
    <w:multiLevelType w:val="multilevel"/>
    <w:tmpl w:val="F0A8ED3E"/>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2" w15:restartNumberingAfterBreak="0">
    <w:nsid w:val="55BE2965"/>
    <w:multiLevelType w:val="multilevel"/>
    <w:tmpl w:val="87CE775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3" w15:restartNumberingAfterBreak="0">
    <w:nsid w:val="6016750F"/>
    <w:multiLevelType w:val="multilevel"/>
    <w:tmpl w:val="271CE8E2"/>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abstractNum w:abstractNumId="4" w15:restartNumberingAfterBreak="0">
    <w:nsid w:val="61595EE8"/>
    <w:multiLevelType w:val="multilevel"/>
    <w:tmpl w:val="45D0B35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15:restartNumberingAfterBreak="0">
    <w:nsid w:val="6E824128"/>
    <w:multiLevelType w:val="multilevel"/>
    <w:tmpl w:val="C10C8C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2520E7C"/>
    <w:multiLevelType w:val="multilevel"/>
    <w:tmpl w:val="D166F56C"/>
    <w:lvl w:ilvl="0">
      <w:start w:val="1"/>
      <w:numFmt w:val="bullet"/>
      <w:lvlText w:val="●"/>
      <w:lvlJc w:val="left"/>
      <w:pPr>
        <w:ind w:left="720" w:hanging="360"/>
      </w:pPr>
      <w:rPr>
        <w:rFonts w:ascii="Noto Sans Symbols" w:hAnsi="Noto Sans Symbols" w:eastAsia="Noto Sans Symbols" w:cs="Noto Sans Symbols"/>
        <w:sz w:val="20"/>
        <w:szCs w:val="20"/>
      </w:rPr>
    </w:lvl>
    <w:lvl w:ilvl="1">
      <w:start w:val="1"/>
      <w:numFmt w:val="bullet"/>
      <w:lvlText w:val="o"/>
      <w:lvlJc w:val="left"/>
      <w:pPr>
        <w:ind w:left="1440" w:hanging="360"/>
      </w:pPr>
      <w:rPr>
        <w:rFonts w:ascii="Courier New" w:hAnsi="Courier New" w:eastAsia="Courier New" w:cs="Courier New"/>
        <w:sz w:val="20"/>
        <w:szCs w:val="20"/>
      </w:rPr>
    </w:lvl>
    <w:lvl w:ilvl="2">
      <w:start w:val="1"/>
      <w:numFmt w:val="bullet"/>
      <w:lvlText w:val="▪"/>
      <w:lvlJc w:val="left"/>
      <w:pPr>
        <w:ind w:left="2160" w:hanging="360"/>
      </w:pPr>
      <w:rPr>
        <w:rFonts w:ascii="Noto Sans Symbols" w:hAnsi="Noto Sans Symbols" w:eastAsia="Noto Sans Symbols" w:cs="Noto Sans Symbols"/>
        <w:sz w:val="20"/>
        <w:szCs w:val="20"/>
      </w:rPr>
    </w:lvl>
    <w:lvl w:ilvl="3">
      <w:start w:val="1"/>
      <w:numFmt w:val="bullet"/>
      <w:lvlText w:val="▪"/>
      <w:lvlJc w:val="left"/>
      <w:pPr>
        <w:ind w:left="2880" w:hanging="360"/>
      </w:pPr>
      <w:rPr>
        <w:rFonts w:ascii="Noto Sans Symbols" w:hAnsi="Noto Sans Symbols" w:eastAsia="Noto Sans Symbols" w:cs="Noto Sans Symbols"/>
        <w:sz w:val="20"/>
        <w:szCs w:val="20"/>
      </w:rPr>
    </w:lvl>
    <w:lvl w:ilvl="4">
      <w:start w:val="1"/>
      <w:numFmt w:val="bullet"/>
      <w:lvlText w:val="▪"/>
      <w:lvlJc w:val="left"/>
      <w:pPr>
        <w:ind w:left="3600" w:hanging="360"/>
      </w:pPr>
      <w:rPr>
        <w:rFonts w:ascii="Noto Sans Symbols" w:hAnsi="Noto Sans Symbols" w:eastAsia="Noto Sans Symbols" w:cs="Noto Sans Symbols"/>
        <w:sz w:val="20"/>
        <w:szCs w:val="20"/>
      </w:rPr>
    </w:lvl>
    <w:lvl w:ilvl="5">
      <w:start w:val="1"/>
      <w:numFmt w:val="bullet"/>
      <w:lvlText w:val="▪"/>
      <w:lvlJc w:val="left"/>
      <w:pPr>
        <w:ind w:left="4320" w:hanging="360"/>
      </w:pPr>
      <w:rPr>
        <w:rFonts w:ascii="Noto Sans Symbols" w:hAnsi="Noto Sans Symbols" w:eastAsia="Noto Sans Symbols" w:cs="Noto Sans Symbols"/>
        <w:sz w:val="20"/>
        <w:szCs w:val="20"/>
      </w:rPr>
    </w:lvl>
    <w:lvl w:ilvl="6">
      <w:start w:val="1"/>
      <w:numFmt w:val="bullet"/>
      <w:lvlText w:val="▪"/>
      <w:lvlJc w:val="left"/>
      <w:pPr>
        <w:ind w:left="5040" w:hanging="360"/>
      </w:pPr>
      <w:rPr>
        <w:rFonts w:ascii="Noto Sans Symbols" w:hAnsi="Noto Sans Symbols" w:eastAsia="Noto Sans Symbols" w:cs="Noto Sans Symbols"/>
        <w:sz w:val="20"/>
        <w:szCs w:val="20"/>
      </w:rPr>
    </w:lvl>
    <w:lvl w:ilvl="7">
      <w:start w:val="1"/>
      <w:numFmt w:val="bullet"/>
      <w:lvlText w:val="▪"/>
      <w:lvlJc w:val="left"/>
      <w:pPr>
        <w:ind w:left="5760" w:hanging="360"/>
      </w:pPr>
      <w:rPr>
        <w:rFonts w:ascii="Noto Sans Symbols" w:hAnsi="Noto Sans Symbols" w:eastAsia="Noto Sans Symbols" w:cs="Noto Sans Symbols"/>
        <w:sz w:val="20"/>
        <w:szCs w:val="20"/>
      </w:rPr>
    </w:lvl>
    <w:lvl w:ilvl="8">
      <w:start w:val="1"/>
      <w:numFmt w:val="bullet"/>
      <w:lvlText w:val="▪"/>
      <w:lvlJc w:val="left"/>
      <w:pPr>
        <w:ind w:left="6480" w:hanging="360"/>
      </w:pPr>
      <w:rPr>
        <w:rFonts w:ascii="Noto Sans Symbols" w:hAnsi="Noto Sans Symbols" w:eastAsia="Noto Sans Symbols" w:cs="Noto Sans Symbols"/>
        <w:sz w:val="20"/>
        <w:szCs w:val="20"/>
      </w:rPr>
    </w:lvl>
  </w:abstractNum>
  <w:num w:numId="1" w16cid:durableId="121272138">
    <w:abstractNumId w:val="4"/>
  </w:num>
  <w:num w:numId="2" w16cid:durableId="409162157">
    <w:abstractNumId w:val="0"/>
  </w:num>
  <w:num w:numId="3" w16cid:durableId="293878564">
    <w:abstractNumId w:val="6"/>
  </w:num>
  <w:num w:numId="4" w16cid:durableId="1700398552">
    <w:abstractNumId w:val="1"/>
  </w:num>
  <w:num w:numId="5" w16cid:durableId="1553928729">
    <w:abstractNumId w:val="2"/>
  </w:num>
  <w:num w:numId="6" w16cid:durableId="1043600649">
    <w:abstractNumId w:val="3"/>
  </w:num>
  <w:num w:numId="7" w16cid:durableId="2007970747">
    <w:abstractNumId w:val="5"/>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50"/>
  <w:embedTrueTypeFonts/>
  <w:proofState w:spelling="clean" w:grammar="dirty"/>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5C14"/>
    <w:rsid w:val="0045021E"/>
    <w:rsid w:val="00707406"/>
    <w:rsid w:val="00931AB0"/>
    <w:rsid w:val="00DC5C14"/>
    <w:rsid w:val="2EBC3E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8A12F8C"/>
  <w15:docId w15:val="{C89EE07E-DA7D-2349-91A4-8617E6C448E8}"/>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Aptos" w:hAnsi="Aptos" w:eastAsia="Aptos" w:cs="Aptos"/>
        <w:sz w:val="24"/>
        <w:szCs w:val="24"/>
        <w:lang w:val="en"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paragraph" w:styleId="Heading1">
    <w:name w:val="heading 1"/>
    <w:basedOn w:val="Normal"/>
    <w:next w:val="Normal"/>
    <w:link w:val="Heading1Char"/>
    <w:uiPriority w:val="9"/>
    <w:qFormat/>
    <w:pPr>
      <w:keepNext/>
      <w:keepLines/>
      <w:spacing w:before="360" w:after="80"/>
      <w:outlineLvl w:val="0"/>
    </w:pPr>
    <w:rPr>
      <w:rFonts w:ascii="Play" w:hAnsi="Play" w:eastAsia="Play" w:cs="Play"/>
      <w:color w:val="0F4761"/>
      <w:sz w:val="40"/>
      <w:szCs w:val="40"/>
    </w:rPr>
  </w:style>
  <w:style w:type="paragraph" w:styleId="Heading2">
    <w:name w:val="heading 2"/>
    <w:basedOn w:val="Normal"/>
    <w:next w:val="Normal"/>
    <w:link w:val="Heading2Char"/>
    <w:uiPriority w:val="9"/>
    <w:unhideWhenUsed/>
    <w:qFormat/>
    <w:pPr>
      <w:keepNext/>
      <w:keepLines/>
      <w:spacing w:before="160" w:after="80"/>
      <w:outlineLvl w:val="1"/>
    </w:pPr>
    <w:rPr>
      <w:rFonts w:ascii="Play" w:hAnsi="Play" w:eastAsia="Play" w:cs="Play"/>
      <w:color w:val="0F4761"/>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color w:val="0F4761"/>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i/>
      <w:color w:val="0F4761"/>
    </w:rPr>
  </w:style>
  <w:style w:type="paragraph" w:styleId="Heading5">
    <w:name w:val="heading 5"/>
    <w:basedOn w:val="Normal"/>
    <w:next w:val="Normal"/>
    <w:link w:val="Heading5Char"/>
    <w:uiPriority w:val="9"/>
    <w:semiHidden/>
    <w:unhideWhenUsed/>
    <w:qFormat/>
    <w:pPr>
      <w:keepNext/>
      <w:keepLines/>
      <w:spacing w:before="80" w:after="40"/>
      <w:outlineLvl w:val="4"/>
    </w:pPr>
    <w:rPr>
      <w:color w:val="0F4761"/>
    </w:rPr>
  </w:style>
  <w:style w:type="paragraph" w:styleId="Heading6">
    <w:name w:val="heading 6"/>
    <w:basedOn w:val="Normal"/>
    <w:next w:val="Normal"/>
    <w:link w:val="Heading6Char"/>
    <w:uiPriority w:val="9"/>
    <w:semiHidden/>
    <w:unhideWhenUsed/>
    <w:qFormat/>
    <w:pPr>
      <w:keepNext/>
      <w:keepLines/>
      <w:spacing w:before="40" w:after="0"/>
      <w:outlineLvl w:val="5"/>
    </w:pPr>
    <w:rPr>
      <w:i/>
      <w:color w:val="595959"/>
    </w:rPr>
  </w:style>
  <w:style w:type="paragraph" w:styleId="Heading7">
    <w:name w:val="heading 7"/>
    <w:basedOn w:val="Normal"/>
    <w:next w:val="Normal"/>
    <w:link w:val="Heading7Char"/>
    <w:uiPriority w:val="9"/>
    <w:semiHidden/>
    <w:unhideWhenUsed/>
    <w:qFormat/>
    <w:rsid w:val="00A96C7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96C7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96C75"/>
    <w:pPr>
      <w:keepNext/>
      <w:keepLines/>
      <w:spacing w:after="0"/>
      <w:outlineLvl w:val="8"/>
    </w:pPr>
    <w:rPr>
      <w:rFonts w:eastAsiaTheme="majorEastAsia" w:cstheme="majorBidi"/>
      <w:color w:val="272727" w:themeColor="text1" w:themeTint="D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table" w:styleId="TableNormal0" w:customStyle="1">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Play" w:hAnsi="Play" w:eastAsia="Play" w:cs="Play"/>
      <w:sz w:val="56"/>
      <w:szCs w:val="56"/>
    </w:rPr>
  </w:style>
  <w:style w:type="character" w:styleId="Heading1Char" w:customStyle="1">
    <w:name w:val="Heading 1 Char"/>
    <w:basedOn w:val="DefaultParagraphFont"/>
    <w:link w:val="Heading1"/>
    <w:uiPriority w:val="9"/>
    <w:rsid w:val="00A96C75"/>
    <w:rPr>
      <w:rFonts w:asciiTheme="majorHAnsi" w:hAnsiTheme="majorHAnsi" w:eastAsiaTheme="majorEastAsia" w:cstheme="majorBidi"/>
      <w:color w:val="0F4761" w:themeColor="accent1" w:themeShade="BF"/>
      <w:sz w:val="40"/>
      <w:szCs w:val="40"/>
      <w:lang w:val="en-GB"/>
    </w:rPr>
  </w:style>
  <w:style w:type="character" w:styleId="Heading2Char" w:customStyle="1">
    <w:name w:val="Heading 2 Char"/>
    <w:basedOn w:val="DefaultParagraphFont"/>
    <w:link w:val="Heading2"/>
    <w:uiPriority w:val="9"/>
    <w:rsid w:val="00A96C75"/>
    <w:rPr>
      <w:rFonts w:asciiTheme="majorHAnsi" w:hAnsiTheme="majorHAnsi" w:eastAsiaTheme="majorEastAsia" w:cstheme="majorBidi"/>
      <w:color w:val="0F4761" w:themeColor="accent1" w:themeShade="BF"/>
      <w:sz w:val="32"/>
      <w:szCs w:val="32"/>
      <w:lang w:val="en-GB"/>
    </w:rPr>
  </w:style>
  <w:style w:type="character" w:styleId="Heading3Char" w:customStyle="1">
    <w:name w:val="Heading 3 Char"/>
    <w:basedOn w:val="DefaultParagraphFont"/>
    <w:link w:val="Heading3"/>
    <w:uiPriority w:val="9"/>
    <w:rsid w:val="00A96C75"/>
    <w:rPr>
      <w:rFonts w:eastAsiaTheme="majorEastAsia" w:cstheme="majorBidi"/>
      <w:color w:val="0F4761" w:themeColor="accent1" w:themeShade="BF"/>
      <w:sz w:val="28"/>
      <w:szCs w:val="28"/>
      <w:lang w:val="en-GB"/>
    </w:rPr>
  </w:style>
  <w:style w:type="character" w:styleId="Heading4Char" w:customStyle="1">
    <w:name w:val="Heading 4 Char"/>
    <w:basedOn w:val="DefaultParagraphFont"/>
    <w:link w:val="Heading4"/>
    <w:uiPriority w:val="9"/>
    <w:semiHidden/>
    <w:rsid w:val="00A96C75"/>
    <w:rPr>
      <w:rFonts w:eastAsiaTheme="majorEastAsia" w:cstheme="majorBidi"/>
      <w:i/>
      <w:iCs/>
      <w:color w:val="0F4761" w:themeColor="accent1" w:themeShade="BF"/>
      <w:lang w:val="en-GB"/>
    </w:rPr>
  </w:style>
  <w:style w:type="character" w:styleId="Heading5Char" w:customStyle="1">
    <w:name w:val="Heading 5 Char"/>
    <w:basedOn w:val="DefaultParagraphFont"/>
    <w:link w:val="Heading5"/>
    <w:uiPriority w:val="9"/>
    <w:semiHidden/>
    <w:rsid w:val="00A96C75"/>
    <w:rPr>
      <w:rFonts w:eastAsiaTheme="majorEastAsia" w:cstheme="majorBidi"/>
      <w:color w:val="0F4761" w:themeColor="accent1" w:themeShade="BF"/>
      <w:lang w:val="en-GB"/>
    </w:rPr>
  </w:style>
  <w:style w:type="character" w:styleId="Heading6Char" w:customStyle="1">
    <w:name w:val="Heading 6 Char"/>
    <w:basedOn w:val="DefaultParagraphFont"/>
    <w:link w:val="Heading6"/>
    <w:uiPriority w:val="9"/>
    <w:semiHidden/>
    <w:rsid w:val="00A96C75"/>
    <w:rPr>
      <w:rFonts w:eastAsiaTheme="majorEastAsia" w:cstheme="majorBidi"/>
      <w:i/>
      <w:iCs/>
      <w:color w:val="595959" w:themeColor="text1" w:themeTint="A6"/>
      <w:lang w:val="en-GB"/>
    </w:rPr>
  </w:style>
  <w:style w:type="character" w:styleId="Heading7Char" w:customStyle="1">
    <w:name w:val="Heading 7 Char"/>
    <w:basedOn w:val="DefaultParagraphFont"/>
    <w:link w:val="Heading7"/>
    <w:uiPriority w:val="9"/>
    <w:semiHidden/>
    <w:rsid w:val="00A96C75"/>
    <w:rPr>
      <w:rFonts w:eastAsiaTheme="majorEastAsia" w:cstheme="majorBidi"/>
      <w:color w:val="595959" w:themeColor="text1" w:themeTint="A6"/>
      <w:lang w:val="en-GB"/>
    </w:rPr>
  </w:style>
  <w:style w:type="character" w:styleId="Heading8Char" w:customStyle="1">
    <w:name w:val="Heading 8 Char"/>
    <w:basedOn w:val="DefaultParagraphFont"/>
    <w:link w:val="Heading8"/>
    <w:uiPriority w:val="9"/>
    <w:semiHidden/>
    <w:rsid w:val="00A96C75"/>
    <w:rPr>
      <w:rFonts w:eastAsiaTheme="majorEastAsia" w:cstheme="majorBidi"/>
      <w:i/>
      <w:iCs/>
      <w:color w:val="272727" w:themeColor="text1" w:themeTint="D8"/>
      <w:lang w:val="en-GB"/>
    </w:rPr>
  </w:style>
  <w:style w:type="character" w:styleId="Heading9Char" w:customStyle="1">
    <w:name w:val="Heading 9 Char"/>
    <w:basedOn w:val="DefaultParagraphFont"/>
    <w:link w:val="Heading9"/>
    <w:uiPriority w:val="9"/>
    <w:semiHidden/>
    <w:rsid w:val="00A96C75"/>
    <w:rPr>
      <w:rFonts w:eastAsiaTheme="majorEastAsia" w:cstheme="majorBidi"/>
      <w:color w:val="272727" w:themeColor="text1" w:themeTint="D8"/>
      <w:lang w:val="en-GB"/>
    </w:rPr>
  </w:style>
  <w:style w:type="character" w:styleId="TitleChar" w:customStyle="1">
    <w:name w:val="Title Char"/>
    <w:basedOn w:val="DefaultParagraphFont"/>
    <w:link w:val="Title"/>
    <w:uiPriority w:val="10"/>
    <w:rsid w:val="00A96C75"/>
    <w:rPr>
      <w:rFonts w:asciiTheme="majorHAnsi" w:hAnsiTheme="majorHAnsi" w:eastAsiaTheme="majorEastAsia" w:cstheme="majorBidi"/>
      <w:spacing w:val="-10"/>
      <w:kern w:val="28"/>
      <w:sz w:val="56"/>
      <w:szCs w:val="56"/>
      <w:lang w:val="en-GB"/>
    </w:rPr>
  </w:style>
  <w:style w:type="character" w:styleId="SubtitleChar" w:customStyle="1">
    <w:name w:val="Subtitle Char"/>
    <w:basedOn w:val="DefaultParagraphFont"/>
    <w:link w:val="Subtitle"/>
    <w:uiPriority w:val="11"/>
    <w:rsid w:val="00A96C7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A96C75"/>
    <w:pPr>
      <w:spacing w:before="160"/>
      <w:jc w:val="center"/>
    </w:pPr>
    <w:rPr>
      <w:i/>
      <w:iCs/>
      <w:color w:val="404040" w:themeColor="text1" w:themeTint="BF"/>
    </w:rPr>
  </w:style>
  <w:style w:type="character" w:styleId="QuoteChar" w:customStyle="1">
    <w:name w:val="Quote Char"/>
    <w:basedOn w:val="DefaultParagraphFont"/>
    <w:link w:val="Quote"/>
    <w:uiPriority w:val="29"/>
    <w:rsid w:val="00A96C75"/>
    <w:rPr>
      <w:i/>
      <w:iCs/>
      <w:color w:val="404040" w:themeColor="text1" w:themeTint="BF"/>
      <w:lang w:val="en-GB"/>
    </w:rPr>
  </w:style>
  <w:style w:type="paragraph" w:styleId="ListParagraph">
    <w:name w:val="List Paragraph"/>
    <w:basedOn w:val="Normal"/>
    <w:uiPriority w:val="34"/>
    <w:qFormat/>
    <w:rsid w:val="00A96C75"/>
    <w:pPr>
      <w:ind w:left="720"/>
      <w:contextualSpacing/>
    </w:pPr>
  </w:style>
  <w:style w:type="character" w:styleId="IntenseEmphasis">
    <w:name w:val="Intense Emphasis"/>
    <w:basedOn w:val="DefaultParagraphFont"/>
    <w:uiPriority w:val="21"/>
    <w:qFormat/>
    <w:rsid w:val="00A96C75"/>
    <w:rPr>
      <w:i/>
      <w:iCs/>
      <w:color w:val="0F4761" w:themeColor="accent1" w:themeShade="BF"/>
    </w:rPr>
  </w:style>
  <w:style w:type="paragraph" w:styleId="IntenseQuote">
    <w:name w:val="Intense Quote"/>
    <w:basedOn w:val="Normal"/>
    <w:next w:val="Normal"/>
    <w:link w:val="IntenseQuoteChar"/>
    <w:uiPriority w:val="30"/>
    <w:qFormat/>
    <w:rsid w:val="00A96C75"/>
    <w:pPr>
      <w:pBdr>
        <w:top w:val="single" w:color="0F4761" w:themeColor="accent1" w:themeShade="BF" w:sz="4" w:space="10"/>
        <w:bottom w:val="single" w:color="0F4761" w:themeColor="accent1" w:themeShade="BF" w:sz="4" w:space="10"/>
      </w:pBdr>
      <w:spacing w:before="360" w:after="360"/>
      <w:ind w:left="864" w:right="864"/>
      <w:jc w:val="center"/>
    </w:pPr>
    <w:rPr>
      <w:i/>
      <w:iCs/>
      <w:color w:val="0F4761" w:themeColor="accent1" w:themeShade="BF"/>
    </w:rPr>
  </w:style>
  <w:style w:type="character" w:styleId="IntenseQuoteChar" w:customStyle="1">
    <w:name w:val="Intense Quote Char"/>
    <w:basedOn w:val="DefaultParagraphFont"/>
    <w:link w:val="IntenseQuote"/>
    <w:uiPriority w:val="30"/>
    <w:rsid w:val="00A96C75"/>
    <w:rPr>
      <w:i/>
      <w:iCs/>
      <w:color w:val="0F4761" w:themeColor="accent1" w:themeShade="BF"/>
      <w:lang w:val="en-GB"/>
    </w:rPr>
  </w:style>
  <w:style w:type="character" w:styleId="IntenseReference">
    <w:name w:val="Intense Reference"/>
    <w:basedOn w:val="DefaultParagraphFont"/>
    <w:uiPriority w:val="32"/>
    <w:qFormat/>
    <w:rsid w:val="00A96C75"/>
    <w:rPr>
      <w:b/>
      <w:bCs/>
      <w:smallCaps/>
      <w:color w:val="0F4761" w:themeColor="accent1" w:themeShade="BF"/>
      <w:spacing w:val="5"/>
    </w:rPr>
  </w:style>
  <w:style w:type="paragraph" w:styleId="p1" w:customStyle="1">
    <w:name w:val="p1"/>
    <w:basedOn w:val="Normal"/>
    <w:rsid w:val="00A96C75"/>
    <w:pPr>
      <w:spacing w:before="100" w:beforeAutospacing="1" w:after="100" w:afterAutospacing="1" w:line="240" w:lineRule="auto"/>
    </w:pPr>
    <w:rPr>
      <w:rFonts w:ascii="Times New Roman" w:hAnsi="Times New Roman" w:eastAsia="Times New Roman" w:cs="Times New Roman"/>
      <w:lang w:val="en-US"/>
    </w:rPr>
  </w:style>
  <w:style w:type="paragraph" w:styleId="p2" w:customStyle="1">
    <w:name w:val="p2"/>
    <w:basedOn w:val="Normal"/>
    <w:rsid w:val="006C48A2"/>
    <w:pPr>
      <w:spacing w:before="100" w:beforeAutospacing="1" w:after="100" w:afterAutospacing="1" w:line="240" w:lineRule="auto"/>
    </w:pPr>
    <w:rPr>
      <w:rFonts w:ascii="Times New Roman" w:hAnsi="Times New Roman" w:eastAsia="Times New Roman" w:cs="Times New Roman"/>
      <w:lang w:val="en-US"/>
    </w:rPr>
  </w:style>
  <w:style w:type="paragraph" w:styleId="NormalWeb">
    <w:name w:val="Normal (Web)"/>
    <w:basedOn w:val="Normal"/>
    <w:uiPriority w:val="99"/>
    <w:unhideWhenUsed/>
    <w:rsid w:val="00C77B33"/>
    <w:pPr>
      <w:spacing w:before="100" w:beforeAutospacing="1" w:after="100" w:afterAutospacing="1" w:line="240" w:lineRule="auto"/>
    </w:pPr>
    <w:rPr>
      <w:rFonts w:ascii="Times New Roman" w:hAnsi="Times New Roman" w:eastAsia="Times New Roman" w:cs="Times New Roman"/>
      <w:lang w:val="en-US"/>
    </w:rPr>
  </w:style>
  <w:style w:type="character" w:styleId="s1" w:customStyle="1">
    <w:name w:val="s1"/>
    <w:basedOn w:val="DefaultParagraphFont"/>
    <w:rsid w:val="00095202"/>
  </w:style>
  <w:style w:type="paragraph" w:styleId="p3" w:customStyle="1">
    <w:name w:val="p3"/>
    <w:basedOn w:val="Normal"/>
    <w:rsid w:val="00095202"/>
    <w:pPr>
      <w:spacing w:before="100" w:beforeAutospacing="1" w:after="100" w:afterAutospacing="1" w:line="240" w:lineRule="auto"/>
    </w:pPr>
    <w:rPr>
      <w:rFonts w:ascii="Times New Roman" w:hAnsi="Times New Roman" w:eastAsia="Times New Roman" w:cs="Times New Roman"/>
      <w:lang w:val="en-US"/>
    </w:rPr>
  </w:style>
  <w:style w:type="character" w:styleId="s2" w:customStyle="1">
    <w:name w:val="s2"/>
    <w:basedOn w:val="DefaultParagraphFont"/>
    <w:rsid w:val="00095202"/>
  </w:style>
  <w:style w:type="character" w:styleId="Hyperlink">
    <w:name w:val="Hyperlink"/>
    <w:basedOn w:val="DefaultParagraphFont"/>
    <w:uiPriority w:val="99"/>
    <w:unhideWhenUsed/>
    <w:rsid w:val="00095202"/>
    <w:rPr>
      <w:color w:val="0000FF"/>
      <w:u w:val="single"/>
    </w:rPr>
  </w:style>
  <w:style w:type="paragraph" w:styleId="p4" w:customStyle="1">
    <w:name w:val="p4"/>
    <w:basedOn w:val="Normal"/>
    <w:rsid w:val="00095202"/>
    <w:pPr>
      <w:spacing w:before="100" w:beforeAutospacing="1" w:after="100" w:afterAutospacing="1" w:line="240" w:lineRule="auto"/>
    </w:pPr>
    <w:rPr>
      <w:rFonts w:ascii="Times New Roman" w:hAnsi="Times New Roman" w:eastAsia="Times New Roman" w:cs="Times New Roman"/>
      <w:lang w:val="en-US"/>
    </w:rPr>
  </w:style>
  <w:style w:type="character" w:styleId="s3" w:customStyle="1">
    <w:name w:val="s3"/>
    <w:basedOn w:val="DefaultParagraphFont"/>
    <w:rsid w:val="00095202"/>
  </w:style>
  <w:style w:type="character" w:styleId="UnresolvedMention">
    <w:name w:val="Unresolved Mention"/>
    <w:basedOn w:val="DefaultParagraphFont"/>
    <w:uiPriority w:val="99"/>
    <w:semiHidden/>
    <w:unhideWhenUsed/>
    <w:rsid w:val="00A15520"/>
    <w:rPr>
      <w:color w:val="605E5C"/>
      <w:shd w:val="clear" w:color="auto" w:fill="E1DFDD"/>
    </w:rPr>
  </w:style>
  <w:style w:type="character" w:styleId="Strong">
    <w:name w:val="Strong"/>
    <w:basedOn w:val="DefaultParagraphFont"/>
    <w:uiPriority w:val="22"/>
    <w:qFormat/>
    <w:rsid w:val="003E6BD2"/>
    <w:rPr>
      <w:b/>
      <w:bCs/>
    </w:rPr>
  </w:style>
  <w:style w:type="character" w:styleId="apple-converted-space" w:customStyle="1">
    <w:name w:val="apple-converted-space"/>
    <w:basedOn w:val="DefaultParagraphFont"/>
    <w:rsid w:val="003E6BD2"/>
  </w:style>
  <w:style w:type="paragraph" w:styleId="Subtitle">
    <w:name w:val="Subtitle"/>
    <w:basedOn w:val="Normal"/>
    <w:next w:val="Normal"/>
    <w:link w:val="SubtitleChar"/>
    <w:uiPriority w:val="11"/>
    <w:qFormat/>
    <w:rPr>
      <w:color w:val="595959"/>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yperlink" Target="https://eur02.safelinks.protection.outlook.com/?url=https%3A%2F%2Fwww.undp.org%2Fafrica%2Fwaca%2Fpublications%2Fcall-proposals-stage-1-nexus-funding-facility&amp;data=05%7C02%7Cfrowein%40unhcr.org%7C6ca98acc59c24043cff208de1aec51d0%7Ce5c37981666441348a0c6543d2af80be%7C0%7C0%7C638977799465186319%7CUnknown%7CTWFpbGZsb3d8eyJFbXB0eU1hcGkiOnRydWUsIlYiOiIwLjAuMDAwMCIsIlAiOiJXaW4zMiIsIkFOIjoiTWFpbCIsIldUIjoyfQ%3D%3D%7C0%7C%7C%7C&amp;sdata=w8mzvJexAfV2eCH2cwLU5x%2FPWJ%2FBib3s02E9FkGzdbU%3D&amp;reserved=0" TargetMode="External" Id="rId8" /><Relationship Type="http://schemas.openxmlformats.org/officeDocument/2006/relationships/customXml" Target="../customXml/item2.xml" Id="rId13" /><Relationship Type="http://schemas.openxmlformats.org/officeDocument/2006/relationships/styles" Target="styles.xml" Id="rId3" /><Relationship Type="http://schemas.openxmlformats.org/officeDocument/2006/relationships/theme" Target="theme/theme1.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image" Target="media/image1.jpg" Id="rId6" /><Relationship Type="http://schemas.openxmlformats.org/officeDocument/2006/relationships/fontTable" Target="fontTable.xml" Id="rId11" /><Relationship Type="http://schemas.openxmlformats.org/officeDocument/2006/relationships/webSettings" Target="webSettings.xml" Id="rId5" /><Relationship Type="http://schemas.openxmlformats.org/officeDocument/2006/relationships/customXml" Target="../customXml/item4.xml" Id="rId15" /><Relationship Type="http://schemas.openxmlformats.org/officeDocument/2006/relationships/hyperlink" Target="mailto:secretariat.nff@undp.org" TargetMode="External" Id="rId10" /><Relationship Type="http://schemas.openxmlformats.org/officeDocument/2006/relationships/settings" Target="settings.xml" Id="rId4" /><Relationship Type="http://schemas.openxmlformats.org/officeDocument/2006/relationships/hyperlink" Target="https://eur02.safelinks.protection.outlook.com/?url=https%3A%2F%2Fwww.undp.org%2Ffr%2Fafrica%2Fwaca%2Fpublications%2Fappel-propositions-phase-1-mecanisme-de-financement-nexus-nff&amp;data=05%7C02%7Cfrowein%40unhcr.org%7C6ca98acc59c24043cff208de1aec51d0%7Ce5c37981666441348a0c6543d2af80be%7C0%7C0%7C638977799465220839%7CUnknown%7CTWFpbGZsb3d8eyJFbXB0eU1hcGkiOnRydWUsIlYiOiIwLjAuMDAwMCIsIlAiOiJXaW4zMiIsIkFOIjoiTWFpbCIsIldUIjoyfQ%3D%3D%7C0%7C%7C%7C&amp;sdata=kGutJ8OKsJ6QC5hqI2%2Buew1GXg%2Fd5lYISuDbKmieiJU%3D&amp;reserved=0" TargetMode="External" Id="rId9" /><Relationship Type="http://schemas.openxmlformats.org/officeDocument/2006/relationships/customXml" Target="../customXml/item3.xml" Id="rId14" /><Relationship Type="http://schemas.openxmlformats.org/officeDocument/2006/relationships/hyperlink" Target="https://www.undp.org/africa/press-releases/launch-special-multi-partner-delivery-fund-and-nexus-funding-facility-lake-chad-basin-region" TargetMode="External" Id="R524abb627cf049aa"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xmlns:thm15="http://schemas.microsoft.com/office/thememl/2012/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XzKDAzifvJ9LlxwYv/htPbf1qg==">CgMxLjAyDmgua2tzOWt3NmVod2ZxMg1oLjRwaDV3c282cjdyMg5oLjJrb2ltYXI3YjF5bzIOaC55b3k0Y2VyaGRkOXMyDmguc2Nja3RxaDcyd2dyMg5oLnVwZ2Zza3BoemtxajIOaC5scm0xeWVna29meTcyDmgucWhybjRidHZuc21yMg5oLjl5cWljeWExNzJrejIOaC4zNGN4dnIyaHRrbzAyDmgubGlzeGVkZzBqcW16Mg5oLnhycXhkeDljMjVibjIOaC5yd3RnYnI2amhiMTEyDmguZm8zeXRrdzBsYm0xMg5oLmpjaDE4amp0bDA3bjIOaC42NzRyc242ZnVrM2gyDmguMnloaG14YnE0c202Mg5oLnAxeWtoZDI5dmY5azIOaC5hcG8wdnJpY25yczgyDmgud2dmZTB1bDZtbW83Mg1oLnVxazV2MzhwYjlsMg5oLnh3azhlM2FudjNtbDgAciExajNielBBUlpJZ2I5cEFhYlVnM0JBYzItVWpkeGRrajA=</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78463A96FCE0F469DCD58F215C57F6E" ma:contentTypeVersion="8" ma:contentTypeDescription="Create a new document." ma:contentTypeScope="" ma:versionID="3400a0cb52524459165f4a830590e582">
  <xsd:schema xmlns:xsd="http://www.w3.org/2001/XMLSchema" xmlns:xs="http://www.w3.org/2001/XMLSchema" xmlns:p="http://schemas.microsoft.com/office/2006/metadata/properties" xmlns:ns2="7a4e1828-ff2b-46dd-afef-088d628d16d9" targetNamespace="http://schemas.microsoft.com/office/2006/metadata/properties" ma:root="true" ma:fieldsID="3368f88929ad4ba2350960ca4100b66b" ns2:_="">
    <xsd:import namespace="7a4e1828-ff2b-46dd-afef-088d628d16d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lcf76f155ced4ddcb4097134ff3c332f"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a4e1828-ff2b-46dd-afef-088d628d16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f5f3f4cc-79b9-4d17-b8fa-dd7577b1fbe8" ma:termSetId="09814cd3-568e-fe90-9814-8d621ff8fb84" ma:anchorId="fba54fb3-c3e1-fe81-a776-ca4b69148c4d" ma:open="true" ma:isKeyword="false">
      <xsd:complexType>
        <xsd:sequence>
          <xsd:element ref="pc:Terms" minOccurs="0" maxOccurs="1"/>
        </xsd:sequence>
      </xsd:complex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7a4e1828-ff2b-46dd-afef-088d628d16d9">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3A1B0895-CF28-4C8C-BF45-89E8ACA2FBCA}"/>
</file>

<file path=customXml/itemProps3.xml><?xml version="1.0" encoding="utf-8"?>
<ds:datastoreItem xmlns:ds="http://schemas.openxmlformats.org/officeDocument/2006/customXml" ds:itemID="{600A3C9A-BC7F-41CC-A5BB-125F9F7CDAE6}"/>
</file>

<file path=customXml/itemProps4.xml><?xml version="1.0" encoding="utf-8"?>
<ds:datastoreItem xmlns:ds="http://schemas.openxmlformats.org/officeDocument/2006/customXml" ds:itemID="{046557AC-5D68-4C06-A54E-B9E36BF4D8B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Sebastian Frowein</dc:creator>
  <lastModifiedBy>Usuario invitado</lastModifiedBy>
  <revision>4</revision>
  <dcterms:created xsi:type="dcterms:W3CDTF">2025-11-05T18:02:00.0000000Z</dcterms:created>
  <dcterms:modified xsi:type="dcterms:W3CDTF">2026-04-30T12:27:54.2699620Z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0x010100678463A96FCE0F469DCD58F215C57F6E</vt:lpwstr>
  </property>
  <property fmtid="{D5CDD505-2E9C-101B-9397-08002B2CF9AE}" pid="3" name="MediaServiceImageTags">
    <vt:lpwstr/>
  </property>
</Properties>
</file>