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7C7E90" w14:textId="77777777" w:rsidR="00DC5C14" w:rsidRDefault="00000000" w:rsidP="00707406">
      <w:pPr>
        <w:spacing w:after="280" w:line="240" w:lineRule="auto"/>
        <w:jc w:val="center"/>
        <w:rPr>
          <w:sz w:val="36"/>
          <w:szCs w:val="36"/>
        </w:rPr>
      </w:pPr>
      <w:r>
        <w:rPr>
          <w:noProof/>
        </w:rPr>
        <w:drawing>
          <wp:inline distT="0" distB="0" distL="0" distR="0" wp14:anchorId="10C3F58C" wp14:editId="48AFC4FD">
            <wp:extent cx="3058148" cy="972728"/>
            <wp:effectExtent l="0" t="0" r="0" b="0"/>
            <wp:docPr id="1310436869" name="image1.jpg" descr="Afbeelding met tekst, symbool, Lettertype, logo&#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0" name="image1.jpg" descr="Afbeelding met tekst, symbool, Lettertype, logo&#10;&#10;Door AI gegenereerde inhoud is mogelijk onjuist."/>
                    <pic:cNvPicPr preferRelativeResize="0"/>
                  </pic:nvPicPr>
                  <pic:blipFill>
                    <a:blip r:embed="rId6"/>
                    <a:srcRect/>
                    <a:stretch>
                      <a:fillRect/>
                    </a:stretch>
                  </pic:blipFill>
                  <pic:spPr>
                    <a:xfrm>
                      <a:off x="0" y="0"/>
                      <a:ext cx="3058148" cy="972728"/>
                    </a:xfrm>
                    <a:prstGeom prst="rect">
                      <a:avLst/>
                    </a:prstGeom>
                    <a:ln/>
                  </pic:spPr>
                </pic:pic>
              </a:graphicData>
            </a:graphic>
          </wp:inline>
        </w:drawing>
      </w:r>
    </w:p>
    <w:p w14:paraId="451056C5" w14:textId="367EF5E8" w:rsidR="00DC5C14" w:rsidRDefault="00000000" w:rsidP="00C32847">
      <w:pPr>
        <w:pStyle w:val="Heading1"/>
        <w:ind w:firstLine="720"/>
        <w:rPr>
          <w:b/>
        </w:rPr>
      </w:pPr>
      <w:r>
        <w:rPr>
          <w:b/>
        </w:rPr>
        <w:t xml:space="preserve"> Vue d’ensemble et </w:t>
      </w:r>
      <w:proofErr w:type="spellStart"/>
      <w:r>
        <w:rPr>
          <w:b/>
        </w:rPr>
        <w:t>foire</w:t>
      </w:r>
      <w:proofErr w:type="spellEnd"/>
      <w:r>
        <w:rPr>
          <w:b/>
        </w:rPr>
        <w:t xml:space="preserve"> aux questions</w:t>
      </w:r>
      <w:r w:rsidR="00C32847">
        <w:rPr>
          <w:b/>
        </w:rPr>
        <w:t xml:space="preserve"> (FAQ)</w:t>
      </w:r>
    </w:p>
    <w:p w14:paraId="1EDD9218" w14:textId="77777777" w:rsidR="00DC5C14" w:rsidRDefault="00DC5C14"/>
    <w:p w14:paraId="353A63FB" w14:textId="77777777" w:rsidR="00DC5C14" w:rsidRDefault="00000000">
      <w:pPr>
        <w:spacing w:before="280" w:after="280" w:line="276" w:lineRule="auto"/>
        <w:rPr>
          <w:b/>
          <w:sz w:val="36"/>
          <w:szCs w:val="36"/>
        </w:rPr>
      </w:pPr>
      <w:r>
        <w:rPr>
          <w:b/>
          <w:sz w:val="36"/>
          <w:szCs w:val="36"/>
        </w:rPr>
        <w:t>Nexus Funding Facility (NFF)</w:t>
      </w:r>
    </w:p>
    <w:p w14:paraId="1C1A760B" w14:textId="77777777" w:rsidR="00DC5C14" w:rsidRDefault="00000000">
      <w:pPr>
        <w:spacing w:before="280" w:after="280" w:line="276" w:lineRule="auto"/>
      </w:pPr>
      <w:r>
        <w:t>Le Nexus Funding Facility (NFF) est un mécanisme régional de financement multi-bailleurs conçu pour opérationnaliser le Nexus humanitaire-développement-paix (HDP) dans la région du bassin du lac Tchad. Administré par le PNUD et soutenu par de nombreux partenaires, le NFF fournit un financement catalytique à des projets qui réduisent les besoins humanitaires tout en s’attaquant aux causes profondes de la fragilité, des déplacements et du sous-développement. Il s’inscrit dans la composante 3 de la .</w:t>
      </w:r>
      <w:hyperlink r:id="rId7">
        <w:r w:rsidR="00DC5C14">
          <w:rPr>
            <w:color w:val="0000FF"/>
            <w:u w:val="single"/>
          </w:rPr>
          <w:t>Special Multi-Partner Delivery Fund (SMDF)</w:t>
        </w:r>
      </w:hyperlink>
    </w:p>
    <w:p w14:paraId="3E2F4004" w14:textId="77777777" w:rsidR="00DC5C14" w:rsidRDefault="00000000">
      <w:pPr>
        <w:spacing w:before="280" w:after="280" w:line="276" w:lineRule="auto"/>
      </w:pPr>
      <w:r>
        <w:t>Le mécanisme promeut le leadership local, la collaboration transfrontalière et des approches intégrées fondées sur des zones géographiques. Il vise à soutenir des solutions durables qui renforcent la résilience et favorisent la stabilité des communautés au Cameroun, au Tchad, au Niger et au Nigeria.</w:t>
      </w:r>
    </w:p>
    <w:p w14:paraId="35B79FE3" w14:textId="77777777" w:rsidR="00DC5C14" w:rsidRDefault="00000000">
      <w:pPr>
        <w:spacing w:before="280" w:after="280" w:line="276" w:lineRule="auto"/>
        <w:rPr>
          <w:b/>
          <w:sz w:val="36"/>
          <w:szCs w:val="36"/>
        </w:rPr>
      </w:pPr>
      <w:r>
        <w:rPr>
          <w:b/>
          <w:sz w:val="36"/>
          <w:szCs w:val="36"/>
        </w:rPr>
        <w:t>Ce que nous finançons</w:t>
      </w:r>
    </w:p>
    <w:p w14:paraId="607D9769" w14:textId="77777777" w:rsidR="00DC5C14" w:rsidRDefault="00000000">
      <w:pPr>
        <w:spacing w:before="280" w:after="280" w:line="276" w:lineRule="auto"/>
      </w:pPr>
      <w:r>
        <w:t>Le NFF soutient des initiatives qui font progresser le Nexus Humanitaire-Développement-Paix (HDP), en mettant l'accent sur :</w:t>
      </w:r>
    </w:p>
    <w:p w14:paraId="4D269014" w14:textId="77777777" w:rsidR="00DC5C14" w:rsidRDefault="00000000">
      <w:pPr>
        <w:numPr>
          <w:ilvl w:val="0"/>
          <w:numId w:val="3"/>
        </w:numPr>
        <w:spacing w:before="280" w:after="0" w:line="276" w:lineRule="auto"/>
      </w:pPr>
      <w:r>
        <w:t>Des projets territoriaux et transfrontaliers qui s’attaquent aux facteurs interconnectés de crise et de vulnérabilité</w:t>
      </w:r>
    </w:p>
    <w:p w14:paraId="5B722F8C" w14:textId="77777777" w:rsidR="00DC5C14" w:rsidRDefault="00000000">
      <w:pPr>
        <w:numPr>
          <w:ilvl w:val="0"/>
          <w:numId w:val="3"/>
        </w:numPr>
        <w:spacing w:after="0" w:line="276" w:lineRule="auto"/>
      </w:pPr>
      <w:r>
        <w:t>Des programmes pilotés par des consortiums impliquant à la fois des acteurs locaux et internationaux</w:t>
      </w:r>
    </w:p>
    <w:p w14:paraId="4696F75C" w14:textId="77777777" w:rsidR="00DC5C14" w:rsidRDefault="00000000">
      <w:pPr>
        <w:numPr>
          <w:ilvl w:val="0"/>
          <w:numId w:val="3"/>
        </w:numPr>
        <w:spacing w:after="280" w:line="276" w:lineRule="auto"/>
      </w:pPr>
      <w:r>
        <w:t>Des approches adaptatives centrées sur les personnes, alignées sur les priorités Nexus validées au niveau national</w:t>
      </w:r>
    </w:p>
    <w:p w14:paraId="289C54AC" w14:textId="77777777" w:rsidR="00DC5C14" w:rsidRDefault="00000000">
      <w:pPr>
        <w:spacing w:before="280" w:after="280" w:line="276" w:lineRule="auto"/>
      </w:pPr>
      <w:r>
        <w:t>Tous les projets doivent démontrer un engagement fort envers :</w:t>
      </w:r>
    </w:p>
    <w:p w14:paraId="10691292" w14:textId="77777777" w:rsidR="00DC5C14" w:rsidRDefault="00000000">
      <w:pPr>
        <w:numPr>
          <w:ilvl w:val="0"/>
          <w:numId w:val="4"/>
        </w:numPr>
        <w:spacing w:before="280" w:after="0" w:line="276" w:lineRule="auto"/>
      </w:pPr>
      <w:r>
        <w:lastRenderedPageBreak/>
        <w:t>Localisation</w:t>
      </w:r>
    </w:p>
    <w:p w14:paraId="29FA147A" w14:textId="77777777" w:rsidR="00DC5C14" w:rsidRDefault="00000000">
      <w:pPr>
        <w:numPr>
          <w:ilvl w:val="0"/>
          <w:numId w:val="4"/>
        </w:numPr>
        <w:spacing w:after="0" w:line="276" w:lineRule="auto"/>
      </w:pPr>
      <w:r>
        <w:t>Sensibilité aux conflits</w:t>
      </w:r>
    </w:p>
    <w:p w14:paraId="79F050F4" w14:textId="77777777" w:rsidR="00DC5C14" w:rsidRDefault="00000000">
      <w:pPr>
        <w:numPr>
          <w:ilvl w:val="0"/>
          <w:numId w:val="4"/>
        </w:numPr>
        <w:spacing w:after="0" w:line="276" w:lineRule="auto"/>
      </w:pPr>
      <w:r>
        <w:t>Égalité des genres et inclusion sociale</w:t>
      </w:r>
    </w:p>
    <w:p w14:paraId="135E892B" w14:textId="77777777" w:rsidR="00DC5C14" w:rsidRDefault="00000000">
      <w:pPr>
        <w:numPr>
          <w:ilvl w:val="0"/>
          <w:numId w:val="4"/>
        </w:numPr>
        <w:spacing w:after="280" w:line="276" w:lineRule="auto"/>
      </w:pPr>
      <w:r>
        <w:t>Principes de non-nuisance</w:t>
      </w:r>
    </w:p>
    <w:p w14:paraId="2CC0F916" w14:textId="77777777" w:rsidR="00DC5C14" w:rsidRDefault="00000000">
      <w:pPr>
        <w:spacing w:before="280" w:after="280" w:line="276" w:lineRule="auto"/>
        <w:rPr>
          <w:b/>
          <w:sz w:val="36"/>
          <w:szCs w:val="36"/>
        </w:rPr>
      </w:pPr>
      <w:r>
        <w:rPr>
          <w:b/>
          <w:sz w:val="36"/>
          <w:szCs w:val="36"/>
        </w:rPr>
        <w:t>Priorités nationales (2025–2026)</w:t>
      </w:r>
    </w:p>
    <w:p w14:paraId="022078E5" w14:textId="77777777" w:rsidR="00DC5C14" w:rsidRDefault="00000000">
      <w:pPr>
        <w:pBdr>
          <w:top w:val="nil"/>
          <w:left w:val="nil"/>
          <w:bottom w:val="nil"/>
          <w:right w:val="nil"/>
          <w:between w:val="nil"/>
        </w:pBdr>
        <w:spacing w:before="280" w:after="280" w:line="276" w:lineRule="auto"/>
        <w:rPr>
          <w:color w:val="000000"/>
        </w:rPr>
      </w:pPr>
      <w:r>
        <w:rPr>
          <w:color w:val="000000"/>
        </w:rPr>
        <w:t>Les priorités nationales du Cameroun et du Tchad ont été définies par leurs Groupes de travail nationaux Nexus (NNTF) respectifs via un processus consultatif et inclusif associant autorités locales, représentants gouvernementaux, organisations de la société civile et partenaires internationaux. Elles ont été consolidées et validées lors d’une série d’ateliers multi-acteurs organisés dans les deux pays en 2025.</w:t>
      </w:r>
    </w:p>
    <w:p w14:paraId="32CA89A3" w14:textId="77777777" w:rsidR="00DC5C14" w:rsidRDefault="00000000">
      <w:pPr>
        <w:pBdr>
          <w:top w:val="nil"/>
          <w:left w:val="nil"/>
          <w:bottom w:val="nil"/>
          <w:right w:val="nil"/>
          <w:between w:val="nil"/>
        </w:pBdr>
        <w:spacing w:before="280" w:after="280" w:line="276" w:lineRule="auto"/>
        <w:rPr>
          <w:color w:val="000000"/>
        </w:rPr>
      </w:pPr>
      <w:r>
        <w:rPr>
          <w:b/>
          <w:color w:val="000000"/>
        </w:rPr>
        <w:t>Cameroun : le NFF vise à renforcer la résilience communautaire, la paix et l’inclusion par des efforts intégrés dans les domaines thématiques suivants :</w:t>
      </w:r>
    </w:p>
    <w:p w14:paraId="1F0EFEA5" w14:textId="77777777" w:rsidR="00DC5C14" w:rsidRDefault="00000000">
      <w:pPr>
        <w:numPr>
          <w:ilvl w:val="0"/>
          <w:numId w:val="5"/>
        </w:numPr>
        <w:pBdr>
          <w:top w:val="nil"/>
          <w:left w:val="nil"/>
          <w:bottom w:val="nil"/>
          <w:right w:val="nil"/>
          <w:between w:val="nil"/>
        </w:pBdr>
        <w:spacing w:before="280" w:after="0" w:line="276" w:lineRule="auto"/>
        <w:rPr>
          <w:color w:val="000000"/>
        </w:rPr>
      </w:pPr>
      <w:r>
        <w:rPr>
          <w:color w:val="000000"/>
        </w:rPr>
        <w:t>Moyens de subsistance durables et sécurité alimentaire et nutritionnelle</w:t>
      </w:r>
    </w:p>
    <w:p w14:paraId="1D4BD4EA" w14:textId="77777777" w:rsidR="00DC5C14" w:rsidRDefault="00000000">
      <w:pPr>
        <w:numPr>
          <w:ilvl w:val="0"/>
          <w:numId w:val="5"/>
        </w:numPr>
        <w:pBdr>
          <w:top w:val="nil"/>
          <w:left w:val="nil"/>
          <w:bottom w:val="nil"/>
          <w:right w:val="nil"/>
          <w:between w:val="nil"/>
        </w:pBdr>
        <w:spacing w:after="0" w:line="276" w:lineRule="auto"/>
        <w:rPr>
          <w:color w:val="000000"/>
        </w:rPr>
      </w:pPr>
      <w:r>
        <w:rPr>
          <w:color w:val="000000"/>
        </w:rPr>
        <w:t>Services sociaux de base inclusifs et durables</w:t>
      </w:r>
    </w:p>
    <w:p w14:paraId="0133C7BD" w14:textId="77777777" w:rsidR="00DC5C14" w:rsidRDefault="00000000">
      <w:pPr>
        <w:numPr>
          <w:ilvl w:val="0"/>
          <w:numId w:val="5"/>
        </w:numPr>
        <w:pBdr>
          <w:top w:val="nil"/>
          <w:left w:val="nil"/>
          <w:bottom w:val="nil"/>
          <w:right w:val="nil"/>
          <w:between w:val="nil"/>
        </w:pBdr>
        <w:spacing w:after="0" w:line="276" w:lineRule="auto"/>
        <w:rPr>
          <w:color w:val="000000"/>
        </w:rPr>
      </w:pPr>
      <w:r>
        <w:rPr>
          <w:color w:val="000000"/>
        </w:rPr>
        <w:t>Cohésion sociale, consolidation de la paix et stabilisation communautaire</w:t>
      </w:r>
    </w:p>
    <w:p w14:paraId="3A825003" w14:textId="77777777" w:rsidR="00DC5C14" w:rsidRDefault="00000000">
      <w:pPr>
        <w:numPr>
          <w:ilvl w:val="0"/>
          <w:numId w:val="5"/>
        </w:numPr>
        <w:pBdr>
          <w:top w:val="nil"/>
          <w:left w:val="nil"/>
          <w:bottom w:val="nil"/>
          <w:right w:val="nil"/>
          <w:between w:val="nil"/>
        </w:pBdr>
        <w:spacing w:after="0" w:line="276" w:lineRule="auto"/>
        <w:rPr>
          <w:color w:val="000000"/>
        </w:rPr>
      </w:pPr>
      <w:r>
        <w:rPr>
          <w:color w:val="000000"/>
        </w:rPr>
        <w:t>Résilience climatique et gouvernance des ressources naturelles</w:t>
      </w:r>
    </w:p>
    <w:p w14:paraId="34445F54" w14:textId="77777777" w:rsidR="00DC5C14" w:rsidRDefault="00000000">
      <w:pPr>
        <w:numPr>
          <w:ilvl w:val="0"/>
          <w:numId w:val="5"/>
        </w:numPr>
        <w:pBdr>
          <w:top w:val="nil"/>
          <w:left w:val="nil"/>
          <w:bottom w:val="nil"/>
          <w:right w:val="nil"/>
          <w:between w:val="nil"/>
        </w:pBdr>
        <w:spacing w:after="280" w:line="276" w:lineRule="auto"/>
        <w:rPr>
          <w:color w:val="000000"/>
        </w:rPr>
      </w:pPr>
      <w:r>
        <w:rPr>
          <w:color w:val="000000"/>
        </w:rPr>
        <w:t>Localisation et gouvernance inclusive</w:t>
      </w:r>
    </w:p>
    <w:p w14:paraId="3E09EF75" w14:textId="77777777" w:rsidR="00DC5C14" w:rsidRDefault="00000000">
      <w:pPr>
        <w:pBdr>
          <w:top w:val="nil"/>
          <w:left w:val="nil"/>
          <w:bottom w:val="nil"/>
          <w:right w:val="nil"/>
          <w:between w:val="nil"/>
        </w:pBdr>
        <w:spacing w:before="280" w:after="280" w:line="276" w:lineRule="auto"/>
        <w:rPr>
          <w:color w:val="000000"/>
        </w:rPr>
      </w:pPr>
      <w:r>
        <w:rPr>
          <w:b/>
          <w:color w:val="000000"/>
        </w:rPr>
        <w:t>Zone géographique : région de l’Extrême-Nord, y compris les zones difficiles d’accès et les dynamiques transfrontalières.</w:t>
      </w:r>
    </w:p>
    <w:p w14:paraId="1E344275" w14:textId="77777777" w:rsidR="00DC5C14" w:rsidRDefault="00000000">
      <w:pPr>
        <w:pBdr>
          <w:top w:val="nil"/>
          <w:left w:val="nil"/>
          <w:bottom w:val="nil"/>
          <w:right w:val="nil"/>
          <w:between w:val="nil"/>
        </w:pBdr>
        <w:spacing w:before="280" w:after="280" w:line="276" w:lineRule="auto"/>
        <w:rPr>
          <w:color w:val="000000"/>
        </w:rPr>
      </w:pPr>
      <w:r>
        <w:rPr>
          <w:b/>
          <w:color w:val="000000"/>
        </w:rPr>
        <w:t>Tchad – Les priorités du NFF au Tchad mettent l’accent sur des interventions qui renforcent les services essentiels et la cohésion sociale tout en renforçant la résilience aux pressions climatiques et liées aux ressources. Les domaines thématiques incluent :</w:t>
      </w:r>
    </w:p>
    <w:p w14:paraId="55E64C02" w14:textId="77777777" w:rsidR="00DC5C14" w:rsidRDefault="00000000">
      <w:pPr>
        <w:numPr>
          <w:ilvl w:val="0"/>
          <w:numId w:val="6"/>
        </w:numPr>
        <w:pBdr>
          <w:top w:val="nil"/>
          <w:left w:val="nil"/>
          <w:bottom w:val="nil"/>
          <w:right w:val="nil"/>
          <w:between w:val="nil"/>
        </w:pBdr>
        <w:spacing w:before="280" w:after="0" w:line="276" w:lineRule="auto"/>
        <w:rPr>
          <w:color w:val="000000"/>
        </w:rPr>
      </w:pPr>
      <w:r>
        <w:rPr>
          <w:color w:val="000000"/>
        </w:rPr>
        <w:t>Services sociaux essentiels</w:t>
      </w:r>
    </w:p>
    <w:p w14:paraId="7EFEC9D5" w14:textId="77777777" w:rsidR="00DC5C14" w:rsidRDefault="00000000">
      <w:pPr>
        <w:numPr>
          <w:ilvl w:val="0"/>
          <w:numId w:val="6"/>
        </w:numPr>
        <w:pBdr>
          <w:top w:val="nil"/>
          <w:left w:val="nil"/>
          <w:bottom w:val="nil"/>
          <w:right w:val="nil"/>
          <w:between w:val="nil"/>
        </w:pBdr>
        <w:spacing w:after="0" w:line="276" w:lineRule="auto"/>
        <w:rPr>
          <w:color w:val="000000"/>
        </w:rPr>
      </w:pPr>
      <w:r>
        <w:rPr>
          <w:color w:val="000000"/>
        </w:rPr>
        <w:t>Moyens de subsistance et sécurité alimentaire</w:t>
      </w:r>
    </w:p>
    <w:p w14:paraId="0F91D9CE" w14:textId="77777777" w:rsidR="00DC5C14" w:rsidRDefault="00000000">
      <w:pPr>
        <w:numPr>
          <w:ilvl w:val="0"/>
          <w:numId w:val="6"/>
        </w:numPr>
        <w:pBdr>
          <w:top w:val="nil"/>
          <w:left w:val="nil"/>
          <w:bottom w:val="nil"/>
          <w:right w:val="nil"/>
          <w:between w:val="nil"/>
        </w:pBdr>
        <w:spacing w:after="0" w:line="276" w:lineRule="auto"/>
        <w:rPr>
          <w:color w:val="000000"/>
        </w:rPr>
      </w:pPr>
      <w:r>
        <w:rPr>
          <w:color w:val="000000"/>
        </w:rPr>
        <w:t>Cohésion sociale et participation communautaire</w:t>
      </w:r>
    </w:p>
    <w:p w14:paraId="695D7D30" w14:textId="77777777" w:rsidR="00DC5C14" w:rsidRDefault="00000000">
      <w:pPr>
        <w:numPr>
          <w:ilvl w:val="0"/>
          <w:numId w:val="6"/>
        </w:numPr>
        <w:pBdr>
          <w:top w:val="nil"/>
          <w:left w:val="nil"/>
          <w:bottom w:val="nil"/>
          <w:right w:val="nil"/>
          <w:between w:val="nil"/>
        </w:pBdr>
        <w:spacing w:after="0" w:line="276" w:lineRule="auto"/>
        <w:rPr>
          <w:color w:val="000000"/>
        </w:rPr>
      </w:pPr>
      <w:r>
        <w:rPr>
          <w:color w:val="000000"/>
        </w:rPr>
        <w:t>Gouvernance locale inclusive et légitimité institutionnelle</w:t>
      </w:r>
    </w:p>
    <w:p w14:paraId="429893F9" w14:textId="77777777" w:rsidR="00DC5C14" w:rsidRDefault="00000000">
      <w:pPr>
        <w:numPr>
          <w:ilvl w:val="0"/>
          <w:numId w:val="6"/>
        </w:numPr>
        <w:pBdr>
          <w:top w:val="nil"/>
          <w:left w:val="nil"/>
          <w:bottom w:val="nil"/>
          <w:right w:val="nil"/>
          <w:between w:val="nil"/>
        </w:pBdr>
        <w:spacing w:after="280" w:line="276" w:lineRule="auto"/>
        <w:rPr>
          <w:color w:val="000000"/>
        </w:rPr>
      </w:pPr>
      <w:r>
        <w:rPr>
          <w:color w:val="000000"/>
        </w:rPr>
        <w:t>Résilience climatique et préparation aux catastrophes</w:t>
      </w:r>
    </w:p>
    <w:p w14:paraId="727182C2" w14:textId="77777777" w:rsidR="00DC5C14" w:rsidRDefault="00000000">
      <w:pPr>
        <w:pBdr>
          <w:top w:val="nil"/>
          <w:left w:val="nil"/>
          <w:bottom w:val="nil"/>
          <w:right w:val="nil"/>
          <w:between w:val="nil"/>
        </w:pBdr>
        <w:spacing w:before="280" w:after="280" w:line="276" w:lineRule="auto"/>
        <w:rPr>
          <w:color w:val="000000"/>
        </w:rPr>
      </w:pPr>
      <w:r>
        <w:rPr>
          <w:b/>
          <w:color w:val="000000"/>
        </w:rPr>
        <w:t>Zone géographique : provinces du Lac et du Hadjer-Lamis</w:t>
      </w:r>
    </w:p>
    <w:p w14:paraId="07B23B60" w14:textId="77777777" w:rsidR="00DC5C14" w:rsidRDefault="00000000">
      <w:pPr>
        <w:spacing w:before="280" w:after="280" w:line="276" w:lineRule="auto"/>
        <w:rPr>
          <w:b/>
          <w:sz w:val="36"/>
          <w:szCs w:val="36"/>
        </w:rPr>
      </w:pPr>
      <w:r>
        <w:rPr>
          <w:b/>
          <w:sz w:val="36"/>
          <w:szCs w:val="36"/>
        </w:rPr>
        <w:t>Propositions en cours</w:t>
      </w:r>
    </w:p>
    <w:p w14:paraId="5B9C7EC1" w14:textId="77777777" w:rsidR="00DC5C14" w:rsidRDefault="00000000">
      <w:pPr>
        <w:spacing w:before="280" w:after="280" w:line="276" w:lineRule="auto"/>
      </w:pPr>
      <w:r>
        <w:lastRenderedPageBreak/>
        <w:t>Le NFF lance régulièrement des Appels à Propositions (AAP) basés sur les priorités validées par les Groupes de Travail Nationaux Nexus (GTNN) dans chaque pays. Ces appels sont ouverts aux consortiums d'ONG, OSC et autres acteurs éligibles intervenant dans le bassin du lac Tchad. L'AAP actuel est disponible ici :</w:t>
      </w:r>
    </w:p>
    <w:p w14:paraId="1DB7AAC0" w14:textId="77777777" w:rsidR="00DC5C14" w:rsidRDefault="00000000">
      <w:pPr>
        <w:numPr>
          <w:ilvl w:val="0"/>
          <w:numId w:val="6"/>
        </w:numPr>
        <w:pBdr>
          <w:top w:val="nil"/>
          <w:left w:val="nil"/>
          <w:bottom w:val="nil"/>
          <w:right w:val="nil"/>
          <w:between w:val="nil"/>
        </w:pBdr>
        <w:spacing w:before="280" w:after="0" w:line="240" w:lineRule="auto"/>
        <w:rPr>
          <w:color w:val="000000"/>
        </w:rPr>
      </w:pPr>
      <w:r>
        <w:rPr>
          <w:color w:val="000000"/>
        </w:rPr>
        <w:t>Anglais :</w:t>
      </w:r>
      <w:hyperlink r:id="rId8">
        <w:r w:rsidR="00DC5C14">
          <w:rPr>
            <w:color w:val="467886"/>
            <w:u w:val="single"/>
          </w:rPr>
          <w:t>https://www.undp.org/africa/waca/publications/call-proposals-stage-1-nexus-funding-facility</w:t>
        </w:r>
      </w:hyperlink>
    </w:p>
    <w:p w14:paraId="030AF615" w14:textId="2748FFD3" w:rsidR="0045021E" w:rsidRPr="0045021E" w:rsidRDefault="00000000" w:rsidP="0045021E">
      <w:pPr>
        <w:numPr>
          <w:ilvl w:val="0"/>
          <w:numId w:val="6"/>
        </w:numPr>
        <w:pBdr>
          <w:top w:val="nil"/>
          <w:left w:val="nil"/>
          <w:bottom w:val="nil"/>
          <w:right w:val="nil"/>
          <w:between w:val="nil"/>
        </w:pBdr>
        <w:spacing w:after="0" w:line="240" w:lineRule="auto"/>
        <w:rPr>
          <w:color w:val="000000"/>
        </w:rPr>
      </w:pPr>
      <w:r>
        <w:rPr>
          <w:color w:val="000000"/>
        </w:rPr>
        <w:t>Français :</w:t>
      </w:r>
      <w:hyperlink r:id="rId9">
        <w:r w:rsidR="0045021E">
          <w:rPr>
            <w:color w:val="467886"/>
            <w:u w:val="single"/>
          </w:rPr>
          <w:t>https://www.undp.org/fr/africa/waca/publications/appel-propositions-phase-1-mecanisme-de-financement-nexus-nff</w:t>
        </w:r>
      </w:hyperlink>
    </w:p>
    <w:p w14:paraId="675C9483" w14:textId="7638FB3B" w:rsidR="00DC5C14" w:rsidRDefault="00000000">
      <w:pPr>
        <w:spacing w:before="280" w:after="280" w:line="276" w:lineRule="auto"/>
        <w:rPr>
          <w:b/>
          <w:sz w:val="36"/>
          <w:szCs w:val="36"/>
        </w:rPr>
      </w:pPr>
      <w:r>
        <w:rPr>
          <w:b/>
          <w:sz w:val="36"/>
          <w:szCs w:val="36"/>
        </w:rPr>
        <w:t>Foire aux questions (FAQ)</w:t>
      </w:r>
    </w:p>
    <w:p w14:paraId="65BA5AB3" w14:textId="77777777" w:rsidR="00DC5C14" w:rsidRDefault="00000000">
      <w:pPr>
        <w:pStyle w:val="Heading3"/>
        <w:keepNext w:val="0"/>
        <w:keepLines w:val="0"/>
        <w:spacing w:before="280" w:line="276" w:lineRule="auto"/>
        <w:rPr>
          <w:b/>
          <w:color w:val="000000"/>
          <w:sz w:val="26"/>
          <w:szCs w:val="26"/>
        </w:rPr>
      </w:pPr>
      <w:bookmarkStart w:id="0" w:name="_heading=h.kks9kw6ehwfq" w:colFirst="0" w:colLast="0"/>
      <w:bookmarkEnd w:id="0"/>
      <w:r>
        <w:rPr>
          <w:b/>
          <w:color w:val="000000"/>
          <w:sz w:val="26"/>
          <w:szCs w:val="26"/>
        </w:rPr>
        <w:t>Quel est l'objectif du Nexus Funding Facility ?</w:t>
      </w:r>
    </w:p>
    <w:p w14:paraId="3936818F" w14:textId="77777777" w:rsidR="00DC5C14" w:rsidRDefault="00000000">
      <w:pPr>
        <w:spacing w:before="240" w:after="240" w:line="276" w:lineRule="auto"/>
      </w:pPr>
      <w:r>
        <w:t>Le NFF vise à opérationnaliser le Nexus Humanitaire-Développement-Paix (HDP) en finançant des projets intégrés et multisectoriels qui réduisent les besoins humanitaires tout en s'attaquant aux causes structurelles de la fragilité, de la vulnérabilité, des conflits et des déplacements dans le bassin du lac Tchad.</w:t>
      </w:r>
    </w:p>
    <w:p w14:paraId="7B152070" w14:textId="77777777" w:rsidR="00DC5C14" w:rsidRDefault="00000000">
      <w:pPr>
        <w:pStyle w:val="Heading3"/>
        <w:keepNext w:val="0"/>
        <w:keepLines w:val="0"/>
        <w:spacing w:before="280" w:line="276" w:lineRule="auto"/>
        <w:rPr>
          <w:b/>
          <w:color w:val="000000"/>
          <w:sz w:val="26"/>
          <w:szCs w:val="26"/>
        </w:rPr>
      </w:pPr>
      <w:bookmarkStart w:id="1" w:name="_heading=h.4ph5wso6r7r" w:colFirst="0" w:colLast="0"/>
      <w:bookmarkEnd w:id="1"/>
      <w:r>
        <w:rPr>
          <w:b/>
          <w:color w:val="000000"/>
          <w:sz w:val="26"/>
          <w:szCs w:val="26"/>
        </w:rPr>
        <w:t>Qui peut candidater pour un financement ?</w:t>
      </w:r>
    </w:p>
    <w:p w14:paraId="748A728D" w14:textId="77777777" w:rsidR="00DC5C14" w:rsidRDefault="00000000">
      <w:pPr>
        <w:spacing w:before="240" w:after="240" w:line="276" w:lineRule="auto"/>
      </w:pPr>
      <w:r>
        <w:t>Les candidats éligibles sont des consortiums composés d'organisations des Nations Unies, d'ONG internationales et d'organisations de la société civile (OSC) — y compris des ONG nationales et d'autres entités à but non lucratif.</w:t>
      </w:r>
    </w:p>
    <w:p w14:paraId="7E5993D0" w14:textId="77777777" w:rsidR="00DC5C14" w:rsidRDefault="00000000">
      <w:pPr>
        <w:spacing w:before="240" w:after="240" w:line="276" w:lineRule="auto"/>
      </w:pPr>
      <w:r>
        <w:t>Chaque consortium doit inclure au moins une OSC nationale légalement enregistrée dans le pays de mise en œuvre.</w:t>
      </w:r>
    </w:p>
    <w:p w14:paraId="4D8897DC" w14:textId="77777777" w:rsidR="00DC5C14" w:rsidRDefault="00000000">
      <w:pPr>
        <w:spacing w:before="240" w:after="240" w:line="276" w:lineRule="auto"/>
      </w:pPr>
      <w:r>
        <w:t>Lors du premier cycle d'allocation (octobre–décembre 2025), le FNF n'acceptera que les propositions provenant du Cameroun et du Tchad. Les cycles futurs pourraient s'étendre au Nigeria et au Niger.</w:t>
      </w:r>
    </w:p>
    <w:p w14:paraId="0C36B229" w14:textId="77777777" w:rsidR="00DC5C14" w:rsidRDefault="00000000">
      <w:pPr>
        <w:pStyle w:val="Heading3"/>
        <w:keepNext w:val="0"/>
        <w:keepLines w:val="0"/>
        <w:spacing w:before="280" w:line="276" w:lineRule="auto"/>
        <w:rPr>
          <w:b/>
          <w:color w:val="000000"/>
          <w:sz w:val="26"/>
          <w:szCs w:val="26"/>
        </w:rPr>
      </w:pPr>
      <w:bookmarkStart w:id="2" w:name="_heading=h.2koimar7b1yo" w:colFirst="0" w:colLast="0"/>
      <w:bookmarkEnd w:id="2"/>
      <w:r>
        <w:rPr>
          <w:b/>
          <w:color w:val="000000"/>
          <w:sz w:val="26"/>
          <w:szCs w:val="26"/>
        </w:rPr>
        <w:t>Quels types de projets sont éligibles ?</w:t>
      </w:r>
    </w:p>
    <w:p w14:paraId="295D7D34" w14:textId="77777777" w:rsidR="00DC5C14" w:rsidRDefault="00000000">
      <w:pPr>
        <w:spacing w:before="240" w:after="240" w:line="276" w:lineRule="auto"/>
      </w:pPr>
      <w:r>
        <w:t>Les projets doivent :</w:t>
      </w:r>
    </w:p>
    <w:p w14:paraId="0298F11C" w14:textId="77777777" w:rsidR="00DC5C14" w:rsidRDefault="00000000">
      <w:pPr>
        <w:numPr>
          <w:ilvl w:val="0"/>
          <w:numId w:val="7"/>
        </w:numPr>
        <w:spacing w:before="240" w:after="0" w:line="276" w:lineRule="auto"/>
      </w:pPr>
      <w:r>
        <w:t>Traiter des priorités du Nexus HDP validées par les Groupes de travail nationaux sur le Nexus (NNTF) ;</w:t>
      </w:r>
    </w:p>
    <w:p w14:paraId="40668202" w14:textId="77777777" w:rsidR="00DC5C14" w:rsidRDefault="00000000">
      <w:pPr>
        <w:numPr>
          <w:ilvl w:val="0"/>
          <w:numId w:val="7"/>
        </w:numPr>
        <w:spacing w:after="0" w:line="276" w:lineRule="auto"/>
      </w:pPr>
      <w:r>
        <w:t>Être mis en œuvre dans les zones géographiques cibles définies dans l'Appel à propositions (CfP) ;</w:t>
      </w:r>
    </w:p>
    <w:p w14:paraId="37966178" w14:textId="77777777" w:rsidR="00DC5C14" w:rsidRDefault="00000000">
      <w:pPr>
        <w:numPr>
          <w:ilvl w:val="0"/>
          <w:numId w:val="7"/>
        </w:numPr>
        <w:spacing w:after="0" w:line="276" w:lineRule="auto"/>
      </w:pPr>
      <w:r>
        <w:lastRenderedPageBreak/>
        <w:t>Être basés sur une zone géographique et, si possible, transfrontaliers et dans des zones difficiles d'accès ;</w:t>
      </w:r>
    </w:p>
    <w:p w14:paraId="1F2601CD" w14:textId="77777777" w:rsidR="00DC5C14" w:rsidRDefault="00000000">
      <w:pPr>
        <w:numPr>
          <w:ilvl w:val="0"/>
          <w:numId w:val="7"/>
        </w:numPr>
        <w:spacing w:after="240" w:line="276" w:lineRule="auto"/>
      </w:pPr>
      <w:r>
        <w:t>Faire preuve de sensibilité aux conflits, d'inclusion, d'égalité des genres et de gestion adaptative.</w:t>
      </w:r>
    </w:p>
    <w:p w14:paraId="101FDAB6" w14:textId="77777777" w:rsidR="00DC5C14" w:rsidRDefault="00000000">
      <w:pPr>
        <w:pStyle w:val="Heading3"/>
        <w:keepNext w:val="0"/>
        <w:keepLines w:val="0"/>
        <w:spacing w:before="280" w:line="276" w:lineRule="auto"/>
        <w:rPr>
          <w:b/>
          <w:color w:val="000000"/>
          <w:sz w:val="26"/>
          <w:szCs w:val="26"/>
        </w:rPr>
      </w:pPr>
      <w:bookmarkStart w:id="3" w:name="_heading=h.yoy4cerhdd9s" w:colFirst="0" w:colLast="0"/>
      <w:bookmarkEnd w:id="3"/>
      <w:r>
        <w:rPr>
          <w:b/>
          <w:color w:val="000000"/>
          <w:sz w:val="26"/>
          <w:szCs w:val="26"/>
        </w:rPr>
        <w:t>Quelle est la durée prévue et la fourchette de financement ?</w:t>
      </w:r>
    </w:p>
    <w:p w14:paraId="3116254D" w14:textId="77777777" w:rsidR="00DC5C14" w:rsidRDefault="00000000">
      <w:pPr>
        <w:spacing w:before="240" w:after="240" w:line="276" w:lineRule="auto"/>
      </w:pPr>
      <w:r>
        <w:t>Les projets ont généralement une durée de 24 mois. Chaque appel à propositions précise la durée exacte, les montants minimum et maximum de financement, ainsi que l'enveloppe disponible.</w:t>
      </w:r>
    </w:p>
    <w:p w14:paraId="39A1C2C1" w14:textId="77777777" w:rsidR="00DC5C14" w:rsidRDefault="00000000">
      <w:pPr>
        <w:pStyle w:val="Heading3"/>
        <w:keepNext w:val="0"/>
        <w:keepLines w:val="0"/>
        <w:spacing w:before="280" w:line="276" w:lineRule="auto"/>
        <w:rPr>
          <w:b/>
          <w:color w:val="000000"/>
          <w:sz w:val="26"/>
          <w:szCs w:val="26"/>
        </w:rPr>
      </w:pPr>
      <w:bookmarkStart w:id="4" w:name="_heading=h.sccktqh72wgr" w:colFirst="0" w:colLast="0"/>
      <w:bookmarkEnd w:id="4"/>
      <w:r>
        <w:rPr>
          <w:b/>
          <w:color w:val="000000"/>
          <w:sz w:val="26"/>
          <w:szCs w:val="26"/>
        </w:rPr>
        <w:t>Une organisation peut-elle soumettre plusieurs propositions ?</w:t>
      </w:r>
    </w:p>
    <w:p w14:paraId="0DB94068" w14:textId="77777777" w:rsidR="00DC5C14" w:rsidRDefault="00000000">
      <w:pPr>
        <w:spacing w:before="240" w:after="240" w:line="276" w:lineRule="auto"/>
      </w:pPr>
      <w:r>
        <w:t>Chaque organisation ne peut participer qu’à un seul consortium par pays et ne peut déposer qu’une seule demande.</w:t>
      </w:r>
    </w:p>
    <w:p w14:paraId="16E8848A" w14:textId="77777777" w:rsidR="00DC5C14" w:rsidRDefault="00000000">
      <w:pPr>
        <w:spacing w:before="240" w:after="240" w:line="276" w:lineRule="auto"/>
      </w:pPr>
      <w:r>
        <w:t>Toutefois, les organisations opérant dans plusieurs pays peuvent rejoindre différents consortiums dans différents pays, à condition de remplir les critères d'éligibilité dans chacun d'eux.</w:t>
      </w:r>
    </w:p>
    <w:p w14:paraId="713162CB" w14:textId="77777777" w:rsidR="00DC5C14" w:rsidRDefault="00000000">
      <w:pPr>
        <w:pStyle w:val="Heading3"/>
        <w:keepNext w:val="0"/>
        <w:keepLines w:val="0"/>
        <w:spacing w:before="280" w:line="276" w:lineRule="auto"/>
        <w:rPr>
          <w:b/>
          <w:color w:val="000000"/>
          <w:sz w:val="26"/>
          <w:szCs w:val="26"/>
        </w:rPr>
      </w:pPr>
      <w:bookmarkStart w:id="5" w:name="_heading=h.upgfskphzkqj" w:colFirst="0" w:colLast="0"/>
      <w:bookmarkEnd w:id="5"/>
      <w:r>
        <w:rPr>
          <w:b/>
          <w:color w:val="000000"/>
          <w:sz w:val="26"/>
          <w:szCs w:val="26"/>
        </w:rPr>
        <w:t>Comment les propositions sont-elles évaluées ?</w:t>
      </w:r>
    </w:p>
    <w:p w14:paraId="0EA7FC96" w14:textId="77777777" w:rsidR="00DC5C14" w:rsidRDefault="00000000">
      <w:pPr>
        <w:spacing w:before="240" w:after="240" w:line="276" w:lineRule="auto"/>
      </w:pPr>
      <w:r>
        <w:t>Toutes les propositions sont examinées par le Comité d'évaluation technique indépendant (CETI) — un panel d'experts indépendants garantissant une sélection équitable, transparente et fondée sur le mérite.</w:t>
      </w:r>
    </w:p>
    <w:p w14:paraId="5D91BD1D" w14:textId="77777777" w:rsidR="00DC5C14" w:rsidRDefault="00000000">
      <w:pPr>
        <w:spacing w:before="240" w:after="240" w:line="276" w:lineRule="auto"/>
      </w:pPr>
      <w:r>
        <w:t>Les propositions sont évaluées selon les critères suivants :</w:t>
      </w:r>
    </w:p>
    <w:p w14:paraId="3B10EB56" w14:textId="77777777" w:rsidR="00DC5C14" w:rsidRDefault="00000000">
      <w:pPr>
        <w:numPr>
          <w:ilvl w:val="0"/>
          <w:numId w:val="2"/>
        </w:numPr>
        <w:spacing w:before="240" w:after="0" w:line="276" w:lineRule="auto"/>
      </w:pPr>
      <w:r>
        <w:rPr>
          <w:b/>
        </w:rPr>
        <w:t xml:space="preserve">Pertinence stratégique – adéquation avec les priorités nationales du Nexus HDP et les objectifs de </w:t>
      </w:r>
      <w:proofErr w:type="spellStart"/>
      <w:r>
        <w:rPr>
          <w:b/>
        </w:rPr>
        <w:t>l'appel</w:t>
      </w:r>
      <w:proofErr w:type="spellEnd"/>
      <w:r>
        <w:rPr>
          <w:b/>
        </w:rPr>
        <w:t xml:space="preserve"> à propositions</w:t>
      </w:r>
    </w:p>
    <w:p w14:paraId="13210801" w14:textId="77777777" w:rsidR="00DC5C14" w:rsidRDefault="00000000">
      <w:pPr>
        <w:numPr>
          <w:ilvl w:val="0"/>
          <w:numId w:val="2"/>
        </w:numPr>
        <w:spacing w:after="0" w:line="276" w:lineRule="auto"/>
      </w:pPr>
      <w:r>
        <w:rPr>
          <w:b/>
        </w:rPr>
        <w:t>Qualité technique – clarté méthodologique, cadre logique et résultats mesurables</w:t>
      </w:r>
    </w:p>
    <w:p w14:paraId="753CC5F5" w14:textId="77777777" w:rsidR="00DC5C14" w:rsidRDefault="00000000">
      <w:pPr>
        <w:numPr>
          <w:ilvl w:val="0"/>
          <w:numId w:val="2"/>
        </w:numPr>
        <w:spacing w:after="0" w:line="276" w:lineRule="auto"/>
      </w:pPr>
      <w:r>
        <w:rPr>
          <w:b/>
        </w:rPr>
        <w:t>Composition du consortium &amp; leadership local – complémentarité et leadership des acteurs nationaux</w:t>
      </w:r>
    </w:p>
    <w:p w14:paraId="37833FAA" w14:textId="77777777" w:rsidR="00DC5C14" w:rsidRDefault="00000000">
      <w:pPr>
        <w:numPr>
          <w:ilvl w:val="0"/>
          <w:numId w:val="2"/>
        </w:numPr>
        <w:spacing w:after="0" w:line="276" w:lineRule="auto"/>
      </w:pPr>
      <w:r>
        <w:rPr>
          <w:b/>
        </w:rPr>
        <w:t>Gestion des risques – atténuation crédible des risques contextuels et opérationnels</w:t>
      </w:r>
    </w:p>
    <w:p w14:paraId="412E39BE" w14:textId="77777777" w:rsidR="00DC5C14" w:rsidRDefault="00000000">
      <w:pPr>
        <w:numPr>
          <w:ilvl w:val="0"/>
          <w:numId w:val="2"/>
        </w:numPr>
        <w:spacing w:after="240" w:line="276" w:lineRule="auto"/>
      </w:pPr>
      <w:r>
        <w:rPr>
          <w:b/>
        </w:rPr>
        <w:t>Rapport qualité-prix – efficacité des coûts par rapport aux résultats attendus</w:t>
      </w:r>
    </w:p>
    <w:p w14:paraId="256A17D3" w14:textId="77777777" w:rsidR="00DC5C14" w:rsidRDefault="00000000">
      <w:pPr>
        <w:spacing w:before="240" w:after="240" w:line="276" w:lineRule="auto"/>
      </w:pPr>
      <w:r>
        <w:rPr>
          <w:b/>
        </w:rPr>
        <w:t>Le processus d'évaluation suit des normes éthiques strictes, et les candidats peuvent recevoir des retours d'information pour renforcer leurs futures soumissions.</w:t>
      </w:r>
    </w:p>
    <w:p w14:paraId="7220BF68" w14:textId="77777777" w:rsidR="00DC5C14" w:rsidRDefault="00DC5C14">
      <w:pPr>
        <w:spacing w:before="280" w:after="280" w:line="276" w:lineRule="auto"/>
      </w:pPr>
    </w:p>
    <w:p w14:paraId="6D5BFD1A" w14:textId="77777777" w:rsidR="00DC5C14" w:rsidRDefault="00000000">
      <w:pPr>
        <w:pStyle w:val="Heading3"/>
        <w:keepNext w:val="0"/>
        <w:keepLines w:val="0"/>
        <w:spacing w:before="280" w:line="276" w:lineRule="auto"/>
        <w:rPr>
          <w:b/>
          <w:color w:val="000000"/>
          <w:sz w:val="26"/>
          <w:szCs w:val="26"/>
        </w:rPr>
      </w:pPr>
      <w:bookmarkStart w:id="6" w:name="_heading=h.lrm1yegkofy7" w:colFirst="0" w:colLast="0"/>
      <w:bookmarkEnd w:id="6"/>
      <w:r>
        <w:rPr>
          <w:b/>
          <w:color w:val="000000"/>
          <w:sz w:val="26"/>
          <w:szCs w:val="26"/>
        </w:rPr>
        <w:t>Comment les priorités sont-elles déterminées ?</w:t>
      </w:r>
    </w:p>
    <w:p w14:paraId="7D09C61A" w14:textId="77777777" w:rsidR="00DC5C14" w:rsidRDefault="00000000">
      <w:pPr>
        <w:spacing w:before="240" w:after="240" w:line="276" w:lineRule="auto"/>
      </w:pPr>
      <w:r>
        <w:t>Chaque Groupe de travail national Nexus (NNTF) identifie et valide des priorités thématiques et géographiques par le biais d'analyses conjointes, de consultations avec les parties prenantes et d'un alignement sur les stratégies nationales.</w:t>
      </w:r>
    </w:p>
    <w:p w14:paraId="7B01D6CB" w14:textId="77777777" w:rsidR="00DC5C14" w:rsidRDefault="00000000">
      <w:pPr>
        <w:spacing w:before="240" w:after="240" w:line="276" w:lineRule="auto"/>
      </w:pPr>
      <w:r>
        <w:t xml:space="preserve">Ces priorités validées guident le champ d'application de chaque appel à propositions et assurent une cohérence avec les cadres régionaux et </w:t>
      </w:r>
      <w:proofErr w:type="spellStart"/>
      <w:r>
        <w:t>nationaux</w:t>
      </w:r>
      <w:proofErr w:type="spellEnd"/>
      <w:r>
        <w:t xml:space="preserve"> plus larges.</w:t>
      </w:r>
    </w:p>
    <w:p w14:paraId="109A139F" w14:textId="77777777" w:rsidR="00DC5C14" w:rsidRDefault="00DC5C14">
      <w:pPr>
        <w:spacing w:before="280" w:after="280" w:line="276" w:lineRule="auto"/>
      </w:pPr>
    </w:p>
    <w:p w14:paraId="01EF8791" w14:textId="77777777" w:rsidR="00DC5C14" w:rsidRDefault="00000000">
      <w:pPr>
        <w:pStyle w:val="Heading3"/>
        <w:keepNext w:val="0"/>
        <w:keepLines w:val="0"/>
        <w:spacing w:before="280" w:line="276" w:lineRule="auto"/>
        <w:rPr>
          <w:b/>
          <w:color w:val="000000"/>
          <w:sz w:val="26"/>
          <w:szCs w:val="26"/>
        </w:rPr>
      </w:pPr>
      <w:bookmarkStart w:id="7" w:name="_heading=h.qhrn4btvnsmr" w:colFirst="0" w:colLast="0"/>
      <w:bookmarkEnd w:id="7"/>
      <w:r>
        <w:rPr>
          <w:b/>
          <w:color w:val="000000"/>
          <w:sz w:val="26"/>
          <w:szCs w:val="26"/>
        </w:rPr>
        <w:t>Quel est le calendrier de sélection des propositions ?</w:t>
      </w:r>
    </w:p>
    <w:p w14:paraId="5D30801E" w14:textId="77777777" w:rsidR="00DC5C14" w:rsidRDefault="00000000">
      <w:pPr>
        <w:spacing w:before="240" w:after="240" w:line="276" w:lineRule="auto"/>
      </w:pPr>
      <w:r>
        <w:rPr>
          <w:b/>
        </w:rPr>
        <w:t>Le NFF utilise un processus de candidature en deux étapes pour simplifier les soumissions et garantir un examen de qualité :</w:t>
      </w:r>
    </w:p>
    <w:p w14:paraId="28AFF2D1" w14:textId="77777777" w:rsidR="00DC5C14" w:rsidRDefault="00000000">
      <w:pPr>
        <w:numPr>
          <w:ilvl w:val="0"/>
          <w:numId w:val="1"/>
        </w:numPr>
        <w:spacing w:before="240" w:after="0" w:line="276" w:lineRule="auto"/>
      </w:pPr>
      <w:r>
        <w:rPr>
          <w:b/>
        </w:rPr>
        <w:t>Étape 1 – Soumission d'une note de concept : Les consortiums éligibles disposent de cinq (5) semaines pour soumettre une note de concept succincte, accompagnée d'un budget récapitulatif et des informations sur le consortium.</w:t>
      </w:r>
    </w:p>
    <w:p w14:paraId="01030655" w14:textId="77777777" w:rsidR="00DC5C14" w:rsidRDefault="00000000">
      <w:pPr>
        <w:numPr>
          <w:ilvl w:val="0"/>
          <w:numId w:val="1"/>
        </w:numPr>
        <w:spacing w:after="0" w:line="276" w:lineRule="auto"/>
      </w:pPr>
      <w:r>
        <w:rPr>
          <w:b/>
        </w:rPr>
        <w:t>Présélection : L'ITRC procède à un examen préliminaire et retient les meilleures soumissions.</w:t>
      </w:r>
    </w:p>
    <w:p w14:paraId="6C16AC84" w14:textId="77777777" w:rsidR="00DC5C14" w:rsidRDefault="00000000">
      <w:pPr>
        <w:numPr>
          <w:ilvl w:val="0"/>
          <w:numId w:val="1"/>
        </w:numPr>
        <w:spacing w:after="0" w:line="276" w:lineRule="auto"/>
      </w:pPr>
      <w:r>
        <w:rPr>
          <w:b/>
        </w:rPr>
        <w:t>Étape 2 – Soumission d'une proposition complète : Les candidats présélectionnés ont environ quatre (4) semaines pour élaborer une proposition détaillée, un budget et un cadre de résultats.</w:t>
      </w:r>
    </w:p>
    <w:p w14:paraId="3CE5224A" w14:textId="77777777" w:rsidR="00DC5C14" w:rsidRDefault="00000000">
      <w:pPr>
        <w:numPr>
          <w:ilvl w:val="0"/>
          <w:numId w:val="1"/>
        </w:numPr>
        <w:spacing w:after="0" w:line="276" w:lineRule="auto"/>
      </w:pPr>
      <w:r>
        <w:rPr>
          <w:b/>
        </w:rPr>
        <w:t>Évaluation finale et décision : L'ITRC évalue les propositions complètes et soumet des recommandations au Conseil régional pour approbation finale.</w:t>
      </w:r>
    </w:p>
    <w:p w14:paraId="3D614A1F" w14:textId="77777777" w:rsidR="00DC5C14" w:rsidRDefault="00000000">
      <w:pPr>
        <w:numPr>
          <w:ilvl w:val="0"/>
          <w:numId w:val="1"/>
        </w:numPr>
        <w:spacing w:after="240" w:line="276" w:lineRule="auto"/>
      </w:pPr>
      <w:r>
        <w:rPr>
          <w:b/>
        </w:rPr>
        <w:t>HACT), ateliers de lancement et signature des accords.</w:t>
      </w:r>
    </w:p>
    <w:p w14:paraId="58656DEA" w14:textId="77777777" w:rsidR="00DC5C14" w:rsidRDefault="00000000">
      <w:pPr>
        <w:pStyle w:val="Heading3"/>
        <w:keepNext w:val="0"/>
        <w:keepLines w:val="0"/>
        <w:spacing w:before="280" w:line="276" w:lineRule="auto"/>
        <w:rPr>
          <w:b/>
          <w:color w:val="000000"/>
          <w:sz w:val="26"/>
          <w:szCs w:val="26"/>
        </w:rPr>
      </w:pPr>
      <w:bookmarkStart w:id="8" w:name="_heading=h.9yqicya172kz" w:colFirst="0" w:colLast="0"/>
      <w:bookmarkEnd w:id="8"/>
      <w:r>
        <w:rPr>
          <w:b/>
          <w:color w:val="000000"/>
          <w:sz w:val="26"/>
          <w:szCs w:val="26"/>
        </w:rPr>
        <w:t>Comment les propositions doivent-elles être soumises ?</w:t>
      </w:r>
    </w:p>
    <w:p w14:paraId="46367E01" w14:textId="77777777" w:rsidR="00DC5C14" w:rsidRDefault="00000000">
      <w:pPr>
        <w:spacing w:before="240" w:after="240" w:line="276" w:lineRule="auto"/>
      </w:pPr>
      <w:r>
        <w:rPr>
          <w:b/>
        </w:rPr>
        <w:t>Les candidatures doivent être envoyées par email à secretariat.nff@undp.org avant la date limite indiquée (23 novembre, minuit heure de Dakar).</w:t>
      </w:r>
    </w:p>
    <w:p w14:paraId="338CB798" w14:textId="77777777" w:rsidR="00DC5C14" w:rsidRDefault="00000000">
      <w:pPr>
        <w:spacing w:before="240" w:after="240" w:line="276" w:lineRule="auto"/>
      </w:pPr>
      <w:r>
        <w:t>Les soumissions via d'autres portails ou méthodes d'envoi ne seront pas acceptées.</w:t>
      </w:r>
    </w:p>
    <w:p w14:paraId="386C03C8" w14:textId="77777777" w:rsidR="00DC5C14" w:rsidRDefault="00DC5C14">
      <w:pPr>
        <w:spacing w:before="240" w:after="240" w:line="276" w:lineRule="auto"/>
      </w:pPr>
    </w:p>
    <w:p w14:paraId="22D9E706" w14:textId="77777777" w:rsidR="00DC5C14" w:rsidRDefault="00000000">
      <w:pPr>
        <w:pStyle w:val="Heading3"/>
        <w:keepNext w:val="0"/>
        <w:keepLines w:val="0"/>
        <w:spacing w:before="280" w:line="276" w:lineRule="auto"/>
        <w:rPr>
          <w:b/>
          <w:color w:val="000000"/>
          <w:sz w:val="26"/>
          <w:szCs w:val="26"/>
        </w:rPr>
      </w:pPr>
      <w:bookmarkStart w:id="9" w:name="_heading=h.34cxvr2htko0" w:colFirst="0" w:colLast="0"/>
      <w:bookmarkEnd w:id="9"/>
      <w:r>
        <w:rPr>
          <w:b/>
          <w:color w:val="000000"/>
          <w:sz w:val="26"/>
          <w:szCs w:val="26"/>
        </w:rPr>
        <w:t>Une organisation peut-elle participer à plus d'un consortium ?</w:t>
      </w:r>
    </w:p>
    <w:p w14:paraId="1C80A314" w14:textId="77777777" w:rsidR="00DC5C14" w:rsidRDefault="00000000">
      <w:pPr>
        <w:spacing w:before="240" w:after="240" w:line="276" w:lineRule="auto"/>
      </w:pPr>
      <w:r>
        <w:lastRenderedPageBreak/>
        <w:t>Chaque organisation ne peut adhérer qu'à un seul consortium par pays.</w:t>
      </w:r>
    </w:p>
    <w:p w14:paraId="0DFCFE33" w14:textId="77777777" w:rsidR="00DC5C14" w:rsidRDefault="00000000">
      <w:pPr>
        <w:spacing w:before="240" w:after="240" w:line="276" w:lineRule="auto"/>
      </w:pPr>
      <w:r>
        <w:t>Cependant, si cela apporte une valeur ajoutée à la dimension transfrontalière, une organisation peut également participer à un consortium transfrontalier distinct dirigé depuis un pays voisin.</w:t>
      </w:r>
    </w:p>
    <w:p w14:paraId="3DB0AC64" w14:textId="77777777" w:rsidR="00DC5C14" w:rsidRDefault="00DC5C14">
      <w:pPr>
        <w:spacing w:before="280" w:after="280" w:line="276" w:lineRule="auto"/>
      </w:pPr>
    </w:p>
    <w:p w14:paraId="3DD24534" w14:textId="77777777" w:rsidR="00DC5C14" w:rsidRDefault="00000000">
      <w:pPr>
        <w:spacing w:before="280" w:after="280" w:line="276" w:lineRule="auto"/>
        <w:rPr>
          <w:b/>
          <w:color w:val="000000"/>
          <w:sz w:val="26"/>
          <w:szCs w:val="26"/>
        </w:rPr>
      </w:pPr>
      <w:r>
        <w:rPr>
          <w:b/>
          <w:color w:val="000000"/>
          <w:sz w:val="26"/>
          <w:szCs w:val="26"/>
        </w:rPr>
        <w:t>L'enveloppe de financement est-elle différente pour les projets transfrontaliers ?</w:t>
      </w:r>
    </w:p>
    <w:p w14:paraId="46B5C3AB" w14:textId="77777777" w:rsidR="00DC5C14" w:rsidRDefault="00000000">
      <w:pPr>
        <w:spacing w:before="240" w:after="240" w:line="276" w:lineRule="auto"/>
      </w:pPr>
      <w:r>
        <w:t>La fourchette de financement s'applique de la même manière aux projets nationaux et transfrontaliers.</w:t>
      </w:r>
    </w:p>
    <w:p w14:paraId="4620408D" w14:textId="77777777" w:rsidR="00DC5C14" w:rsidRDefault="00000000">
      <w:pPr>
        <w:spacing w:before="240" w:after="240" w:line="276" w:lineRule="auto"/>
      </w:pPr>
      <w:r>
        <w:t>Une note complémentaire sur l'enveloppe globale et les montants plafond/plancher sera communiquée séparément aux candidats.</w:t>
      </w:r>
    </w:p>
    <w:p w14:paraId="5E593B5C" w14:textId="77777777" w:rsidR="00DC5C14" w:rsidRDefault="00DC5C14">
      <w:pPr>
        <w:spacing w:before="280" w:after="280" w:line="276" w:lineRule="auto"/>
      </w:pPr>
    </w:p>
    <w:p w14:paraId="204725F8" w14:textId="77777777" w:rsidR="00DC5C14" w:rsidRDefault="00000000">
      <w:pPr>
        <w:pStyle w:val="Heading3"/>
        <w:keepNext w:val="0"/>
        <w:keepLines w:val="0"/>
        <w:spacing w:before="280" w:line="276" w:lineRule="auto"/>
        <w:rPr>
          <w:b/>
          <w:color w:val="000000"/>
          <w:sz w:val="26"/>
          <w:szCs w:val="26"/>
        </w:rPr>
      </w:pPr>
      <w:bookmarkStart w:id="10" w:name="_heading=h.lisxedg0jqmz" w:colFirst="0" w:colLast="0"/>
      <w:bookmarkEnd w:id="10"/>
      <w:r>
        <w:rPr>
          <w:b/>
          <w:color w:val="000000"/>
          <w:sz w:val="26"/>
          <w:szCs w:val="26"/>
        </w:rPr>
        <w:t>Que sont les « coûts de coordination » et sont-ils éligibles ?</w:t>
      </w:r>
    </w:p>
    <w:p w14:paraId="648863FF" w14:textId="77777777" w:rsidR="00DC5C14" w:rsidRDefault="00000000">
      <w:pPr>
        <w:spacing w:before="240" w:after="240" w:line="276" w:lineRule="auto"/>
      </w:pPr>
      <w:r>
        <w:t>Chaque membre du consortium signera un accord bilatéral distinct avec le PNUD, gestionnaire du fonds.</w:t>
      </w:r>
    </w:p>
    <w:p w14:paraId="5F7123B9" w14:textId="77777777" w:rsidR="00DC5C14" w:rsidRDefault="00000000">
      <w:pPr>
        <w:spacing w:before="240" w:after="240" w:line="276" w:lineRule="auto"/>
      </w:pPr>
      <w:r>
        <w:t>L'organisation chef de file facilite la coordination et la communication, mais n'exerce pas de responsabilité fiduciaire à l'égard des autres.</w:t>
      </w:r>
    </w:p>
    <w:p w14:paraId="1274543D" w14:textId="77777777" w:rsidR="00DC5C14" w:rsidRDefault="00000000">
      <w:pPr>
        <w:spacing w:before="240" w:after="240" w:line="276" w:lineRule="auto"/>
      </w:pPr>
      <w:r>
        <w:t>Par conséquent, les frais de coordination ou majorations de gestion ne sont pas éligibles au financement.</w:t>
      </w:r>
    </w:p>
    <w:p w14:paraId="13D06E72" w14:textId="77777777" w:rsidR="00DC5C14" w:rsidRDefault="00DC5C14">
      <w:pPr>
        <w:spacing w:before="280" w:after="280" w:line="276" w:lineRule="auto"/>
      </w:pPr>
    </w:p>
    <w:p w14:paraId="3E29CD6D" w14:textId="77777777" w:rsidR="00DC5C14" w:rsidRDefault="00000000">
      <w:pPr>
        <w:pStyle w:val="Heading3"/>
        <w:keepNext w:val="0"/>
        <w:keepLines w:val="0"/>
        <w:spacing w:before="280" w:line="276" w:lineRule="auto"/>
        <w:rPr>
          <w:b/>
          <w:color w:val="000000"/>
          <w:sz w:val="26"/>
          <w:szCs w:val="26"/>
        </w:rPr>
      </w:pPr>
      <w:bookmarkStart w:id="11" w:name="_heading=h.xrqxdx9c25bn" w:colFirst="0" w:colLast="0"/>
      <w:bookmarkEnd w:id="11"/>
      <w:r>
        <w:rPr>
          <w:b/>
          <w:color w:val="000000"/>
          <w:sz w:val="26"/>
          <w:szCs w:val="26"/>
        </w:rPr>
        <w:t>Les propositions peuvent-elles cibler des zones en dehors des « zones de convergence » définies ?</w:t>
      </w:r>
    </w:p>
    <w:p w14:paraId="64BAA969" w14:textId="77777777" w:rsidR="00DC5C14" w:rsidRDefault="00000000">
      <w:pPr>
        <w:spacing w:before="240" w:after="240" w:line="276" w:lineRule="auto"/>
      </w:pPr>
      <w:r>
        <w:t xml:space="preserve">Non. Comme indiqué dans la section 3.3 de l'appel à propositions, les interventions doivent avoir lieu dans les zones géographiques de convergence </w:t>
      </w:r>
      <w:proofErr w:type="spellStart"/>
      <w:r>
        <w:t>validées</w:t>
      </w:r>
      <w:proofErr w:type="spellEnd"/>
      <w:r>
        <w:t xml:space="preserve"> (voir </w:t>
      </w:r>
      <w:proofErr w:type="spellStart"/>
      <w:r>
        <w:t>annexe</w:t>
      </w:r>
      <w:proofErr w:type="spellEnd"/>
      <w:r>
        <w:t xml:space="preserve"> D).</w:t>
      </w:r>
    </w:p>
    <w:p w14:paraId="680200AD" w14:textId="77777777" w:rsidR="00DC5C14" w:rsidRDefault="00000000">
      <w:pPr>
        <w:spacing w:before="240" w:after="240" w:line="276" w:lineRule="auto"/>
      </w:pPr>
      <w:r>
        <w:t>La concentration dans ces zones favorise la synergie, la continuité et l'évolutivité entre les partenaires.</w:t>
      </w:r>
    </w:p>
    <w:p w14:paraId="2FE0DD64" w14:textId="77777777" w:rsidR="00DC5C14" w:rsidRDefault="00DC5C14">
      <w:pPr>
        <w:spacing w:before="280" w:after="280" w:line="276" w:lineRule="auto"/>
      </w:pPr>
    </w:p>
    <w:p w14:paraId="609A186C" w14:textId="77777777" w:rsidR="00DC5C14" w:rsidRDefault="00000000">
      <w:pPr>
        <w:pStyle w:val="Heading3"/>
        <w:keepNext w:val="0"/>
        <w:keepLines w:val="0"/>
        <w:spacing w:before="280" w:line="276" w:lineRule="auto"/>
        <w:rPr>
          <w:b/>
          <w:color w:val="000000"/>
          <w:sz w:val="26"/>
          <w:szCs w:val="26"/>
        </w:rPr>
      </w:pPr>
      <w:bookmarkStart w:id="12" w:name="_heading=h.rwtgbr6jhb11" w:colFirst="0" w:colLast="0"/>
      <w:bookmarkEnd w:id="12"/>
      <w:r>
        <w:rPr>
          <w:b/>
          <w:color w:val="000000"/>
          <w:sz w:val="26"/>
          <w:szCs w:val="26"/>
        </w:rPr>
        <w:t>Qu'est-ce qui définit une « OSC nationale » par opposition à une « OSC internationale » ?</w:t>
      </w:r>
    </w:p>
    <w:p w14:paraId="12A7D1EF" w14:textId="77777777" w:rsidR="00DC5C14" w:rsidRDefault="00000000">
      <w:pPr>
        <w:spacing w:before="240" w:after="240" w:line="276" w:lineRule="auto"/>
      </w:pPr>
      <w:r>
        <w:t>Pour cet appel, une OSC nationale est une entité à but non lucratif enregistrée localement, avec un conseil d'administration national et une gestion financière indépendante.</w:t>
      </w:r>
    </w:p>
    <w:p w14:paraId="4B2D8A7A" w14:textId="77777777" w:rsidR="00DC5C14" w:rsidRDefault="00000000">
      <w:pPr>
        <w:spacing w:before="240" w:after="240" w:line="276" w:lineRule="auto"/>
      </w:pPr>
      <w:r>
        <w:t>Les ONG internationales ne sont pas considérées comme des OSC nationales, même si elles disposent d'un bureau local.</w:t>
      </w:r>
    </w:p>
    <w:p w14:paraId="2D263D31" w14:textId="77777777" w:rsidR="00DC5C14" w:rsidRPr="00C32847" w:rsidRDefault="00000000">
      <w:pPr>
        <w:pStyle w:val="Heading3"/>
        <w:keepNext w:val="0"/>
        <w:keepLines w:val="0"/>
        <w:spacing w:before="280" w:line="276" w:lineRule="auto"/>
        <w:rPr>
          <w:b/>
          <w:color w:val="000000"/>
          <w:sz w:val="26"/>
          <w:szCs w:val="26"/>
          <w:lang w:val="de-DE"/>
        </w:rPr>
      </w:pPr>
      <w:bookmarkStart w:id="13" w:name="_heading=h.fo3ytkw0lbm1" w:colFirst="0" w:colLast="0"/>
      <w:bookmarkEnd w:id="13"/>
      <w:proofErr w:type="spellStart"/>
      <w:r w:rsidRPr="00C32847">
        <w:rPr>
          <w:b/>
          <w:color w:val="000000"/>
          <w:sz w:val="26"/>
          <w:szCs w:val="26"/>
          <w:lang w:val="de-DE"/>
        </w:rPr>
        <w:t>Que</w:t>
      </w:r>
      <w:proofErr w:type="spellEnd"/>
      <w:r w:rsidRPr="00C32847">
        <w:rPr>
          <w:b/>
          <w:color w:val="000000"/>
          <w:sz w:val="26"/>
          <w:szCs w:val="26"/>
          <w:lang w:val="de-DE"/>
        </w:rPr>
        <w:t xml:space="preserve"> se passe-t-il si la </w:t>
      </w:r>
      <w:proofErr w:type="spellStart"/>
      <w:r w:rsidRPr="00C32847">
        <w:rPr>
          <w:b/>
          <w:color w:val="000000"/>
          <w:sz w:val="26"/>
          <w:szCs w:val="26"/>
          <w:lang w:val="de-DE"/>
        </w:rPr>
        <w:t>même</w:t>
      </w:r>
      <w:proofErr w:type="spellEnd"/>
      <w:r w:rsidRPr="00C32847">
        <w:rPr>
          <w:b/>
          <w:color w:val="000000"/>
          <w:sz w:val="26"/>
          <w:szCs w:val="26"/>
          <w:lang w:val="de-DE"/>
        </w:rPr>
        <w:t xml:space="preserve"> </w:t>
      </w:r>
      <w:proofErr w:type="spellStart"/>
      <w:r w:rsidRPr="00C32847">
        <w:rPr>
          <w:b/>
          <w:color w:val="000000"/>
          <w:sz w:val="26"/>
          <w:szCs w:val="26"/>
          <w:lang w:val="de-DE"/>
        </w:rPr>
        <w:t>organisation</w:t>
      </w:r>
      <w:proofErr w:type="spellEnd"/>
      <w:r w:rsidRPr="00C32847">
        <w:rPr>
          <w:b/>
          <w:color w:val="000000"/>
          <w:sz w:val="26"/>
          <w:szCs w:val="26"/>
          <w:lang w:val="de-DE"/>
        </w:rPr>
        <w:t xml:space="preserve"> </w:t>
      </w:r>
      <w:proofErr w:type="spellStart"/>
      <w:r w:rsidRPr="00C32847">
        <w:rPr>
          <w:b/>
          <w:color w:val="000000"/>
          <w:sz w:val="26"/>
          <w:szCs w:val="26"/>
          <w:lang w:val="de-DE"/>
        </w:rPr>
        <w:t>est</w:t>
      </w:r>
      <w:proofErr w:type="spellEnd"/>
      <w:r w:rsidRPr="00C32847">
        <w:rPr>
          <w:b/>
          <w:color w:val="000000"/>
          <w:sz w:val="26"/>
          <w:szCs w:val="26"/>
          <w:lang w:val="de-DE"/>
        </w:rPr>
        <w:t xml:space="preserve"> </w:t>
      </w:r>
      <w:proofErr w:type="spellStart"/>
      <w:r w:rsidRPr="00C32847">
        <w:rPr>
          <w:b/>
          <w:color w:val="000000"/>
          <w:sz w:val="26"/>
          <w:szCs w:val="26"/>
          <w:lang w:val="de-DE"/>
        </w:rPr>
        <w:t>enregistrée</w:t>
      </w:r>
      <w:proofErr w:type="spellEnd"/>
      <w:r w:rsidRPr="00C32847">
        <w:rPr>
          <w:b/>
          <w:color w:val="000000"/>
          <w:sz w:val="26"/>
          <w:szCs w:val="26"/>
          <w:lang w:val="de-DE"/>
        </w:rPr>
        <w:t xml:space="preserve"> à la </w:t>
      </w:r>
      <w:proofErr w:type="spellStart"/>
      <w:r w:rsidRPr="00C32847">
        <w:rPr>
          <w:b/>
          <w:color w:val="000000"/>
          <w:sz w:val="26"/>
          <w:szCs w:val="26"/>
          <w:lang w:val="de-DE"/>
        </w:rPr>
        <w:t>fois</w:t>
      </w:r>
      <w:proofErr w:type="spellEnd"/>
      <w:r w:rsidRPr="00C32847">
        <w:rPr>
          <w:b/>
          <w:color w:val="000000"/>
          <w:sz w:val="26"/>
          <w:szCs w:val="26"/>
          <w:lang w:val="de-DE"/>
        </w:rPr>
        <w:t xml:space="preserve"> au </w:t>
      </w:r>
      <w:proofErr w:type="spellStart"/>
      <w:r w:rsidRPr="00C32847">
        <w:rPr>
          <w:b/>
          <w:color w:val="000000"/>
          <w:sz w:val="26"/>
          <w:szCs w:val="26"/>
          <w:lang w:val="de-DE"/>
        </w:rPr>
        <w:t>Cameroun</w:t>
      </w:r>
      <w:proofErr w:type="spellEnd"/>
      <w:r w:rsidRPr="00C32847">
        <w:rPr>
          <w:b/>
          <w:color w:val="000000"/>
          <w:sz w:val="26"/>
          <w:szCs w:val="26"/>
          <w:lang w:val="de-DE"/>
        </w:rPr>
        <w:t xml:space="preserve"> et au </w:t>
      </w:r>
      <w:proofErr w:type="spellStart"/>
      <w:proofErr w:type="gramStart"/>
      <w:r w:rsidRPr="00C32847">
        <w:rPr>
          <w:b/>
          <w:color w:val="000000"/>
          <w:sz w:val="26"/>
          <w:szCs w:val="26"/>
          <w:lang w:val="de-DE"/>
        </w:rPr>
        <w:t>Tchad</w:t>
      </w:r>
      <w:proofErr w:type="spellEnd"/>
      <w:r w:rsidRPr="00C32847">
        <w:rPr>
          <w:b/>
          <w:color w:val="000000"/>
          <w:sz w:val="26"/>
          <w:szCs w:val="26"/>
          <w:lang w:val="de-DE"/>
        </w:rPr>
        <w:t xml:space="preserve"> ?</w:t>
      </w:r>
      <w:proofErr w:type="gramEnd"/>
    </w:p>
    <w:p w14:paraId="2F065698" w14:textId="77777777" w:rsidR="00DC5C14" w:rsidRDefault="00000000">
      <w:pPr>
        <w:spacing w:before="240" w:after="240" w:line="276" w:lineRule="auto"/>
      </w:pPr>
      <w:r>
        <w:t xml:space="preserve">Si des </w:t>
      </w:r>
      <w:proofErr w:type="spellStart"/>
      <w:r>
        <w:t>entités</w:t>
      </w:r>
      <w:proofErr w:type="spellEnd"/>
      <w:r>
        <w:t xml:space="preserve"> </w:t>
      </w:r>
      <w:proofErr w:type="spellStart"/>
      <w:r>
        <w:t>juridiquement</w:t>
      </w:r>
      <w:proofErr w:type="spellEnd"/>
      <w:r>
        <w:t xml:space="preserve"> distinctes existent dans les deux pays, chacune peut être traitée comme une organisation nationale distincte.</w:t>
      </w:r>
    </w:p>
    <w:p w14:paraId="2134DE3C" w14:textId="77777777" w:rsidR="00DC5C14" w:rsidRDefault="00000000">
      <w:pPr>
        <w:spacing w:before="240" w:after="240" w:line="276" w:lineRule="auto"/>
      </w:pPr>
      <w:r>
        <w:t>Ils peuvent donc participer à un consortium par pays, à condition de remplir les critères d'éligibilité.</w:t>
      </w:r>
    </w:p>
    <w:p w14:paraId="043E758C" w14:textId="77777777" w:rsidR="00DC5C14" w:rsidRDefault="00000000">
      <w:pPr>
        <w:pStyle w:val="Heading3"/>
        <w:keepNext w:val="0"/>
        <w:keepLines w:val="0"/>
        <w:spacing w:before="280" w:line="276" w:lineRule="auto"/>
        <w:rPr>
          <w:b/>
          <w:color w:val="000000"/>
          <w:sz w:val="26"/>
          <w:szCs w:val="26"/>
        </w:rPr>
      </w:pPr>
      <w:bookmarkStart w:id="14" w:name="_heading=h.jch18jjtl07n" w:colFirst="0" w:colLast="0"/>
      <w:bookmarkEnd w:id="14"/>
      <w:r>
        <w:rPr>
          <w:b/>
          <w:color w:val="000000"/>
          <w:sz w:val="26"/>
          <w:szCs w:val="26"/>
        </w:rPr>
        <w:t>Dans quelle langue les propositions doivent-elles être soumises, et qui doit les envoyer ?</w:t>
      </w:r>
    </w:p>
    <w:p w14:paraId="6B3035DA" w14:textId="77777777" w:rsidR="00DC5C14" w:rsidRDefault="00000000">
      <w:pPr>
        <w:spacing w:before="240" w:after="240" w:line="276" w:lineRule="auto"/>
      </w:pPr>
      <w:r>
        <w:t>Les propositions peuvent être soumises en anglais ou en français.</w:t>
      </w:r>
    </w:p>
    <w:p w14:paraId="338EDCAA" w14:textId="77777777" w:rsidR="00DC5C14" w:rsidRDefault="00000000">
      <w:pPr>
        <w:spacing w:before="240" w:after="240" w:line="276" w:lineRule="auto"/>
      </w:pPr>
      <w:r>
        <w:t>L'organisation chef de file soumet la candidature au nom du consortium en utilisant les modèles officiels (note conceptuelle en Word, budget en Excel).</w:t>
      </w:r>
    </w:p>
    <w:p w14:paraId="0AB431F7" w14:textId="77777777" w:rsidR="00DC5C14" w:rsidRDefault="00DC5C14">
      <w:pPr>
        <w:spacing w:before="280" w:after="280" w:line="276" w:lineRule="auto"/>
      </w:pPr>
    </w:p>
    <w:p w14:paraId="3DED79CB" w14:textId="77777777" w:rsidR="00DC5C14" w:rsidRDefault="00000000">
      <w:pPr>
        <w:pStyle w:val="Heading3"/>
        <w:keepNext w:val="0"/>
        <w:keepLines w:val="0"/>
        <w:spacing w:before="280" w:line="276" w:lineRule="auto"/>
        <w:rPr>
          <w:b/>
          <w:color w:val="000000"/>
          <w:sz w:val="26"/>
          <w:szCs w:val="26"/>
        </w:rPr>
      </w:pPr>
      <w:bookmarkStart w:id="15" w:name="_heading=h.674rsn6fuk3h" w:colFirst="0" w:colLast="0"/>
      <w:bookmarkEnd w:id="15"/>
      <w:r>
        <w:rPr>
          <w:b/>
          <w:color w:val="000000"/>
          <w:sz w:val="26"/>
          <w:szCs w:val="26"/>
        </w:rPr>
        <w:t>Une agence des Nations Unies doit-elle faire partie d'un consortium ?</w:t>
      </w:r>
    </w:p>
    <w:p w14:paraId="5A6628E7" w14:textId="77777777" w:rsidR="00DC5C14" w:rsidRDefault="00000000">
      <w:pPr>
        <w:spacing w:before="240" w:after="240" w:line="276" w:lineRule="auto"/>
      </w:pPr>
      <w:r>
        <w:t>L'inclusion d'une agence des Nations Unies n'est pas obligatoire.</w:t>
      </w:r>
    </w:p>
    <w:p w14:paraId="1C3BFCB0" w14:textId="77777777" w:rsidR="00DC5C14" w:rsidRDefault="00000000">
      <w:pPr>
        <w:spacing w:before="240" w:after="240" w:line="276" w:lineRule="auto"/>
      </w:pPr>
      <w:r>
        <w:t xml:space="preserve">La seule exigence est qu'au moins une OSC nationale participe en tant que membre du consortium conformément aux règles d'éligibilité de </w:t>
      </w:r>
      <w:proofErr w:type="spellStart"/>
      <w:r>
        <w:t>l'appel</w:t>
      </w:r>
      <w:proofErr w:type="spellEnd"/>
      <w:r>
        <w:t xml:space="preserve"> à propositions.</w:t>
      </w:r>
    </w:p>
    <w:p w14:paraId="4459AC73" w14:textId="77777777" w:rsidR="00DC5C14" w:rsidRDefault="00DC5C14">
      <w:pPr>
        <w:spacing w:before="280" w:after="280" w:line="276" w:lineRule="auto"/>
      </w:pPr>
    </w:p>
    <w:p w14:paraId="3F39A0AD" w14:textId="77777777" w:rsidR="00DC5C14" w:rsidRDefault="00000000">
      <w:pPr>
        <w:pStyle w:val="Heading3"/>
        <w:keepNext w:val="0"/>
        <w:keepLines w:val="0"/>
        <w:spacing w:before="280" w:line="276" w:lineRule="auto"/>
        <w:rPr>
          <w:b/>
          <w:color w:val="000000"/>
          <w:sz w:val="26"/>
          <w:szCs w:val="26"/>
        </w:rPr>
      </w:pPr>
      <w:bookmarkStart w:id="16" w:name="_heading=h.2yhhmxbq4sm6" w:colFirst="0" w:colLast="0"/>
      <w:bookmarkEnd w:id="16"/>
      <w:r>
        <w:rPr>
          <w:b/>
          <w:color w:val="000000"/>
          <w:sz w:val="26"/>
          <w:szCs w:val="26"/>
        </w:rPr>
        <w:t>Les futurs appels à propositions incluront-ils d'autres pays ?</w:t>
      </w:r>
    </w:p>
    <w:p w14:paraId="20D5F214" w14:textId="77777777" w:rsidR="00DC5C14" w:rsidRPr="00C32847" w:rsidRDefault="00000000">
      <w:pPr>
        <w:spacing w:before="240" w:after="240" w:line="276" w:lineRule="auto"/>
        <w:rPr>
          <w:bCs/>
          <w:color w:val="000000"/>
          <w:sz w:val="34"/>
          <w:szCs w:val="34"/>
        </w:rPr>
      </w:pPr>
      <w:r w:rsidRPr="00C32847">
        <w:rPr>
          <w:bCs/>
        </w:rPr>
        <w:lastRenderedPageBreak/>
        <w:t>C'est possible. Le Conseil régional du NFF examinera les performances et le contexte début 2026 et pourra décider d'étendre le dispositif au Nigeria et/ou au Niger via un nouvel appel à propositions.</w:t>
      </w:r>
    </w:p>
    <w:p w14:paraId="4AB4ABF4" w14:textId="77777777" w:rsidR="00DC5C14" w:rsidRDefault="00000000">
      <w:pPr>
        <w:pStyle w:val="Heading3"/>
        <w:keepNext w:val="0"/>
        <w:keepLines w:val="0"/>
        <w:spacing w:before="280" w:line="276" w:lineRule="auto"/>
        <w:rPr>
          <w:b/>
          <w:color w:val="000000"/>
          <w:sz w:val="26"/>
          <w:szCs w:val="26"/>
        </w:rPr>
      </w:pPr>
      <w:bookmarkStart w:id="17" w:name="_heading=h.p1ykhd29vf9k" w:colFirst="0" w:colLast="0"/>
      <w:bookmarkEnd w:id="17"/>
      <w:r>
        <w:rPr>
          <w:b/>
          <w:color w:val="000000"/>
          <w:sz w:val="26"/>
          <w:szCs w:val="26"/>
        </w:rPr>
        <w:t xml:space="preserve">Quels coûts sont éligibles au financement du </w:t>
      </w:r>
      <w:proofErr w:type="gramStart"/>
      <w:r>
        <w:rPr>
          <w:b/>
          <w:color w:val="000000"/>
          <w:sz w:val="26"/>
          <w:szCs w:val="26"/>
        </w:rPr>
        <w:t>NFF ?</w:t>
      </w:r>
      <w:proofErr w:type="gramEnd"/>
    </w:p>
    <w:p w14:paraId="10357C72" w14:textId="77777777" w:rsidR="00DC5C14" w:rsidRPr="00C32847" w:rsidRDefault="00000000">
      <w:pPr>
        <w:spacing w:before="240" w:after="240" w:line="276" w:lineRule="auto"/>
        <w:rPr>
          <w:bCs/>
        </w:rPr>
      </w:pPr>
      <w:r w:rsidRPr="00C32847">
        <w:rPr>
          <w:bCs/>
        </w:rPr>
        <w:t xml:space="preserve">Les coûts éligibles incluent généralement le personnel, les coûts directs des activités, les frais de déplacement, le suivi-évaluation, l’équipement et les frais administratifs (dans la limite fixée dans </w:t>
      </w:r>
      <w:proofErr w:type="spellStart"/>
      <w:r w:rsidRPr="00C32847">
        <w:rPr>
          <w:bCs/>
        </w:rPr>
        <w:t>l’Appel</w:t>
      </w:r>
      <w:proofErr w:type="spellEnd"/>
      <w:r w:rsidRPr="00C32847">
        <w:rPr>
          <w:bCs/>
        </w:rPr>
        <w:t xml:space="preserve"> à propositions).</w:t>
      </w:r>
    </w:p>
    <w:p w14:paraId="6EF3DBDB" w14:textId="77777777" w:rsidR="00DC5C14" w:rsidRDefault="00000000">
      <w:pPr>
        <w:spacing w:before="240" w:after="240" w:line="276" w:lineRule="auto"/>
      </w:pPr>
      <w:r>
        <w:t>Les coûts non éligibles comprennent les dettes, l’achat de terrains ou les dépenses déjà couvertes par d’autres bailleurs.</w:t>
      </w:r>
    </w:p>
    <w:p w14:paraId="1C46547A" w14:textId="77777777" w:rsidR="00DC5C14" w:rsidRDefault="00000000">
      <w:pPr>
        <w:pStyle w:val="Heading3"/>
        <w:keepNext w:val="0"/>
        <w:keepLines w:val="0"/>
        <w:spacing w:before="280" w:line="276" w:lineRule="auto"/>
        <w:rPr>
          <w:b/>
          <w:color w:val="000000"/>
          <w:sz w:val="26"/>
          <w:szCs w:val="26"/>
        </w:rPr>
      </w:pPr>
      <w:bookmarkStart w:id="18" w:name="_heading=h.apo0vricnrs8" w:colFirst="0" w:colLast="0"/>
      <w:bookmarkEnd w:id="18"/>
      <w:r>
        <w:rPr>
          <w:b/>
          <w:color w:val="000000"/>
          <w:sz w:val="26"/>
          <w:szCs w:val="26"/>
        </w:rPr>
        <w:t>Comment les paiements sont-ils versés ?</w:t>
      </w:r>
    </w:p>
    <w:p w14:paraId="51237FCC" w14:textId="77777777" w:rsidR="00DC5C14" w:rsidRPr="00C32847" w:rsidRDefault="00000000">
      <w:pPr>
        <w:spacing w:before="240" w:after="240" w:line="276" w:lineRule="auto"/>
        <w:rPr>
          <w:bCs/>
        </w:rPr>
      </w:pPr>
      <w:r w:rsidRPr="00C32847">
        <w:rPr>
          <w:bCs/>
        </w:rPr>
        <w:t>Les paiements sont généralement effectués en plusieurs tranches, définies conjointement avec le PNUD lors de la deuxième phase de la candidature, et versées à l’atteinte des jalons convenus et à la soumission de rapports d’avancement et financiers jugés satisfaisants.</w:t>
      </w:r>
    </w:p>
    <w:p w14:paraId="59EA86C8" w14:textId="77777777" w:rsidR="00DC5C14" w:rsidRDefault="00000000">
      <w:pPr>
        <w:pStyle w:val="Heading3"/>
        <w:keepNext w:val="0"/>
        <w:keepLines w:val="0"/>
        <w:spacing w:before="280" w:line="276" w:lineRule="auto"/>
        <w:rPr>
          <w:b/>
          <w:color w:val="000000"/>
          <w:sz w:val="26"/>
          <w:szCs w:val="26"/>
        </w:rPr>
      </w:pPr>
      <w:bookmarkStart w:id="19" w:name="_heading=h.wgfe0ul6mmo7" w:colFirst="0" w:colLast="0"/>
      <w:bookmarkEnd w:id="19"/>
      <w:r>
        <w:rPr>
          <w:b/>
          <w:color w:val="000000"/>
          <w:sz w:val="26"/>
          <w:szCs w:val="26"/>
        </w:rPr>
        <w:t xml:space="preserve">Quelles sont les exigences en matière de suivi et de </w:t>
      </w:r>
      <w:proofErr w:type="gramStart"/>
      <w:r>
        <w:rPr>
          <w:b/>
          <w:color w:val="000000"/>
          <w:sz w:val="26"/>
          <w:szCs w:val="26"/>
        </w:rPr>
        <w:t>rapport ?</w:t>
      </w:r>
      <w:proofErr w:type="gramEnd"/>
    </w:p>
    <w:p w14:paraId="1541800C" w14:textId="77777777" w:rsidR="00DC5C14" w:rsidRDefault="00000000">
      <w:pPr>
        <w:spacing w:before="240" w:after="240" w:line="276" w:lineRule="auto"/>
      </w:pPr>
      <w:r w:rsidRPr="00C32847">
        <w:rPr>
          <w:bCs/>
        </w:rPr>
        <w:t>Les consortiums devront soumettre des rapports périodiques d’avancement, à la fois narratifs et financiers, alignés sur le cadre de résultats du NFF. Les modalités seront précisées à l’étape 2 de la candidature</w:t>
      </w:r>
      <w:r>
        <w:rPr>
          <w:b/>
        </w:rPr>
        <w:t>.</w:t>
      </w:r>
    </w:p>
    <w:p w14:paraId="0CDA1A97" w14:textId="77777777" w:rsidR="00DC5C14" w:rsidRDefault="00000000">
      <w:pPr>
        <w:spacing w:before="240" w:after="240" w:line="276" w:lineRule="auto"/>
      </w:pPr>
      <w:r>
        <w:t>Des visites de suivi sur le terrain pourront être menées conjointement par le Secrétariat et les partenaires nationaux.</w:t>
      </w:r>
    </w:p>
    <w:p w14:paraId="263AB83F" w14:textId="393652DF" w:rsidR="00DC5C14" w:rsidRDefault="00000000">
      <w:pPr>
        <w:pStyle w:val="Heading3"/>
        <w:keepNext w:val="0"/>
        <w:keepLines w:val="0"/>
        <w:spacing w:before="280" w:line="276" w:lineRule="auto"/>
        <w:rPr>
          <w:b/>
          <w:color w:val="000000"/>
          <w:sz w:val="26"/>
          <w:szCs w:val="26"/>
        </w:rPr>
      </w:pPr>
      <w:bookmarkStart w:id="20" w:name="_heading=h.uqk5v38pb9l" w:colFirst="0" w:colLast="0"/>
      <w:bookmarkEnd w:id="20"/>
      <w:r>
        <w:rPr>
          <w:b/>
          <w:color w:val="000000"/>
          <w:sz w:val="26"/>
          <w:szCs w:val="26"/>
        </w:rPr>
        <w:t xml:space="preserve">Qu’est-ce que le Comité indépendant </w:t>
      </w:r>
      <w:proofErr w:type="spellStart"/>
      <w:r>
        <w:rPr>
          <w:b/>
          <w:color w:val="000000"/>
          <w:sz w:val="26"/>
          <w:szCs w:val="26"/>
        </w:rPr>
        <w:t>d’examen</w:t>
      </w:r>
      <w:proofErr w:type="spellEnd"/>
      <w:r>
        <w:rPr>
          <w:b/>
          <w:color w:val="000000"/>
          <w:sz w:val="26"/>
          <w:szCs w:val="26"/>
        </w:rPr>
        <w:t xml:space="preserve"> technique (</w:t>
      </w:r>
      <w:r w:rsidR="00C32847">
        <w:rPr>
          <w:b/>
          <w:color w:val="000000"/>
          <w:sz w:val="26"/>
          <w:szCs w:val="26"/>
        </w:rPr>
        <w:t>ITRC</w:t>
      </w:r>
      <w:proofErr w:type="gramStart"/>
      <w:r>
        <w:rPr>
          <w:b/>
          <w:color w:val="000000"/>
          <w:sz w:val="26"/>
          <w:szCs w:val="26"/>
        </w:rPr>
        <w:t>) ?</w:t>
      </w:r>
      <w:proofErr w:type="gramEnd"/>
    </w:p>
    <w:p w14:paraId="35BB14DD" w14:textId="13D15C8D" w:rsidR="00DC5C14" w:rsidRPr="00C32847" w:rsidRDefault="00000000">
      <w:pPr>
        <w:spacing w:before="240" w:after="240" w:line="276" w:lineRule="auto"/>
        <w:rPr>
          <w:bCs/>
        </w:rPr>
      </w:pPr>
      <w:r w:rsidRPr="00C32847">
        <w:rPr>
          <w:bCs/>
        </w:rPr>
        <w:t xml:space="preserve">Le </w:t>
      </w:r>
      <w:r w:rsidR="00C32847" w:rsidRPr="00C32847">
        <w:rPr>
          <w:bCs/>
        </w:rPr>
        <w:t>ITRC</w:t>
      </w:r>
      <w:r w:rsidRPr="00C32847">
        <w:rPr>
          <w:bCs/>
        </w:rPr>
        <w:t xml:space="preserve"> est un </w:t>
      </w:r>
      <w:proofErr w:type="spellStart"/>
      <w:r w:rsidRPr="00C32847">
        <w:rPr>
          <w:bCs/>
        </w:rPr>
        <w:t>organe</w:t>
      </w:r>
      <w:proofErr w:type="spellEnd"/>
      <w:r w:rsidRPr="00C32847">
        <w:rPr>
          <w:bCs/>
        </w:rPr>
        <w:t xml:space="preserve"> indépendant composé d’experts régionaux en stabilisation, consolidation de la paix et résilience.</w:t>
      </w:r>
    </w:p>
    <w:p w14:paraId="651C432A" w14:textId="77777777" w:rsidR="00DC5C14" w:rsidRPr="00C32847" w:rsidRDefault="00000000">
      <w:pPr>
        <w:spacing w:before="240" w:after="240" w:line="276" w:lineRule="auto"/>
        <w:rPr>
          <w:bCs/>
        </w:rPr>
      </w:pPr>
      <w:r w:rsidRPr="00C32847">
        <w:rPr>
          <w:bCs/>
        </w:rPr>
        <w:t>Il garantit l'intégrité technique et la transparence des évaluations des propositions, et fournit des recommandations au Conseil Régional.</w:t>
      </w:r>
    </w:p>
    <w:p w14:paraId="2AD512D6" w14:textId="32175BE1" w:rsidR="0045021E" w:rsidRPr="0045021E" w:rsidRDefault="0045021E" w:rsidP="0045021E">
      <w:pPr>
        <w:spacing w:before="240" w:after="240" w:line="276" w:lineRule="auto"/>
        <w:rPr>
          <w:b/>
          <w:bCs/>
          <w:sz w:val="26"/>
          <w:szCs w:val="26"/>
        </w:rPr>
      </w:pPr>
      <w:r w:rsidRPr="0045021E">
        <w:rPr>
          <w:b/>
          <w:bCs/>
          <w:sz w:val="26"/>
          <w:szCs w:val="26"/>
        </w:rPr>
        <w:t xml:space="preserve">Quels changements ont été apportés à l’enveloppe financière globale et aux </w:t>
      </w:r>
      <w:proofErr w:type="gramStart"/>
      <w:r w:rsidRPr="0045021E">
        <w:rPr>
          <w:b/>
          <w:bCs/>
          <w:sz w:val="26"/>
          <w:szCs w:val="26"/>
        </w:rPr>
        <w:t>plafonds ?</w:t>
      </w:r>
      <w:proofErr w:type="gramEnd"/>
    </w:p>
    <w:p w14:paraId="013F5A13" w14:textId="4B0F3FAA" w:rsidR="0045021E" w:rsidRPr="0045021E" w:rsidRDefault="0045021E" w:rsidP="0045021E">
      <w:pPr>
        <w:spacing w:before="240" w:after="240" w:line="276" w:lineRule="auto"/>
        <w:rPr>
          <w:lang w:val="en-US"/>
        </w:rPr>
      </w:pPr>
      <w:r w:rsidRPr="0045021E">
        <w:rPr>
          <w:lang w:val="en-US"/>
        </w:rPr>
        <w:lastRenderedPageBreak/>
        <w:t>Le plafond maximum par proposition de projet/consortium a été ajusté à 2,5 millions de dollars (contre 2,9 millions auparavant). L'enveloppe globale disponible pour les projets retenus au Cameroun et au Tchad est passée de 5,8 millions à 5,9 millions de dollars. Sur ce montant, 5,0 millions sont alloués au financement des projets sélectionnés, tandis que 900 000 dollars sont réservés pour soutenir des plafonds budgétaires plus élevés pour les ONG locales qualifiées au sein des consortiums présélectionnés.</w:t>
      </w:r>
    </w:p>
    <w:p w14:paraId="766F3E26" w14:textId="3A041E68" w:rsidR="0045021E" w:rsidRPr="0045021E" w:rsidRDefault="0045021E" w:rsidP="0045021E">
      <w:pPr>
        <w:spacing w:before="240" w:after="240" w:line="276" w:lineRule="auto"/>
        <w:rPr>
          <w:b/>
          <w:bCs/>
          <w:sz w:val="26"/>
          <w:szCs w:val="26"/>
          <w:lang w:val="en-US"/>
        </w:rPr>
      </w:pPr>
      <w:r w:rsidRPr="0045021E">
        <w:rPr>
          <w:b/>
          <w:bCs/>
          <w:sz w:val="26"/>
          <w:szCs w:val="26"/>
          <w:lang w:val="en-US"/>
        </w:rPr>
        <w:t>Pourquoi ces ajustements ont-ils été effectués ?</w:t>
      </w:r>
    </w:p>
    <w:p w14:paraId="2E83E0FF" w14:textId="145B69BC" w:rsidR="00C32847" w:rsidRDefault="0045021E" w:rsidP="0045021E">
      <w:pPr>
        <w:spacing w:before="240" w:after="240" w:line="276" w:lineRule="auto"/>
        <w:rPr>
          <w:lang w:val="en-US"/>
        </w:rPr>
      </w:pPr>
      <w:r w:rsidRPr="0045021E">
        <w:rPr>
          <w:lang w:val="en-US"/>
        </w:rPr>
        <w:t xml:space="preserve">Afin de maximiser la flexibilité et de renforcer la localisation en permettant aux ONG locales capables de gérer, le cas échéant, des budgets plus importants, tout en conservant une enveloppe globale robuste pour les deux </w:t>
      </w:r>
      <w:proofErr w:type="spellStart"/>
      <w:r w:rsidRPr="0045021E">
        <w:rPr>
          <w:lang w:val="en-US"/>
        </w:rPr>
        <w:t>portefeuilles</w:t>
      </w:r>
      <w:proofErr w:type="spellEnd"/>
      <w:r w:rsidRPr="0045021E">
        <w:rPr>
          <w:lang w:val="en-US"/>
        </w:rPr>
        <w:t xml:space="preserve"> pays.</w:t>
      </w:r>
    </w:p>
    <w:p w14:paraId="5BEEB480" w14:textId="77777777" w:rsidR="00C32847" w:rsidRPr="0045021E" w:rsidRDefault="00C32847" w:rsidP="0045021E">
      <w:pPr>
        <w:spacing w:before="240" w:after="240" w:line="276" w:lineRule="auto"/>
        <w:rPr>
          <w:lang w:val="en-US"/>
        </w:rPr>
      </w:pPr>
    </w:p>
    <w:p w14:paraId="7CDB1719" w14:textId="55D67740" w:rsidR="0045021E" w:rsidRPr="0045021E" w:rsidRDefault="0045021E" w:rsidP="0045021E">
      <w:pPr>
        <w:spacing w:before="240" w:after="240" w:line="276" w:lineRule="auto"/>
        <w:rPr>
          <w:b/>
          <w:bCs/>
          <w:sz w:val="26"/>
          <w:szCs w:val="26"/>
          <w:lang w:val="en-US"/>
        </w:rPr>
      </w:pPr>
      <w:r w:rsidRPr="0045021E">
        <w:rPr>
          <w:b/>
          <w:bCs/>
          <w:sz w:val="26"/>
          <w:szCs w:val="26"/>
          <w:lang w:val="en-US"/>
        </w:rPr>
        <w:t xml:space="preserve">Comment fonctionne la « réserve de localisation » de 900 000 </w:t>
      </w:r>
      <w:proofErr w:type="gramStart"/>
      <w:r w:rsidRPr="0045021E">
        <w:rPr>
          <w:b/>
          <w:bCs/>
          <w:sz w:val="26"/>
          <w:szCs w:val="26"/>
          <w:lang w:val="en-US"/>
        </w:rPr>
        <w:t>dollars ?</w:t>
      </w:r>
      <w:proofErr w:type="gramEnd"/>
    </w:p>
    <w:p w14:paraId="7C12060D" w14:textId="77777777" w:rsidR="0045021E" w:rsidRPr="0045021E" w:rsidRDefault="0045021E" w:rsidP="0045021E">
      <w:pPr>
        <w:spacing w:before="240" w:after="240" w:line="276" w:lineRule="auto"/>
        <w:rPr>
          <w:lang w:val="en-US"/>
        </w:rPr>
      </w:pPr>
      <w:r w:rsidRPr="0045021E">
        <w:rPr>
          <w:lang w:val="en-US"/>
        </w:rPr>
        <w:t>Les ONG locales présélectionnées peuvent demander un budget dépassant le plafond indicatif de 150 000 dollars à condition de prouver une capacité suffisante par :</w:t>
      </w:r>
    </w:p>
    <w:p w14:paraId="5A7F172F" w14:textId="77777777" w:rsidR="0045021E" w:rsidRPr="0045021E" w:rsidRDefault="0045021E" w:rsidP="0045021E">
      <w:pPr>
        <w:spacing w:before="240" w:after="240" w:line="276" w:lineRule="auto"/>
        <w:rPr>
          <w:lang w:val="en-US"/>
        </w:rPr>
      </w:pPr>
      <w:r w:rsidRPr="0045021E">
        <w:rPr>
          <w:lang w:val="en-US"/>
        </w:rPr>
        <w:t>• une notation HACT déjà déposée à l’étape de la note conceptuelle ; ou</w:t>
      </w:r>
    </w:p>
    <w:p w14:paraId="71087A0A" w14:textId="1FA9BE60" w:rsidR="0045021E" w:rsidRPr="0045021E" w:rsidRDefault="0045021E" w:rsidP="0045021E">
      <w:pPr>
        <w:spacing w:before="240" w:after="240" w:line="276" w:lineRule="auto"/>
        <w:rPr>
          <w:lang w:val="en-US"/>
        </w:rPr>
      </w:pPr>
      <w:r w:rsidRPr="0045021E">
        <w:rPr>
          <w:lang w:val="en-US"/>
        </w:rPr>
        <w:t>• une évaluation HACT commandée par le PNUD si aucune notation actuelle n'existe.</w:t>
      </w:r>
    </w:p>
    <w:p w14:paraId="6D3EB7C2" w14:textId="77777777" w:rsidR="0045021E" w:rsidRPr="0045021E" w:rsidRDefault="0045021E" w:rsidP="0045021E">
      <w:pPr>
        <w:spacing w:before="240" w:after="240" w:line="276" w:lineRule="auto"/>
        <w:rPr>
          <w:lang w:val="en-US"/>
        </w:rPr>
      </w:pPr>
      <w:r w:rsidRPr="0045021E">
        <w:rPr>
          <w:lang w:val="en-US"/>
        </w:rPr>
        <w:t>Toute augmentation potentielle du plafond sera discutée et négociée lors de l'Étape 2 (élaboration de la proposition complète), sur la base des résultats de l'évaluation HACT et en tenant compte des recommandations du Comité d'examen technique indépendant (CETI). La décision finale sera prise par le PNUD en tant que gestionnaire du fonds, en consultation avec le Secrétariat du NFF.</w:t>
      </w:r>
    </w:p>
    <w:p w14:paraId="1A1C7D7F" w14:textId="77777777" w:rsidR="0045021E" w:rsidRPr="0045021E" w:rsidRDefault="0045021E" w:rsidP="0045021E">
      <w:pPr>
        <w:spacing w:before="240" w:after="240" w:line="276" w:lineRule="auto"/>
        <w:rPr>
          <w:lang w:val="en-US"/>
        </w:rPr>
      </w:pPr>
    </w:p>
    <w:p w14:paraId="520739E4" w14:textId="12A10187" w:rsidR="0045021E" w:rsidRPr="0045021E" w:rsidRDefault="0045021E" w:rsidP="0045021E">
      <w:pPr>
        <w:spacing w:before="240" w:after="240" w:line="276" w:lineRule="auto"/>
        <w:rPr>
          <w:b/>
          <w:bCs/>
          <w:sz w:val="26"/>
          <w:szCs w:val="26"/>
          <w:lang w:val="en-US"/>
        </w:rPr>
      </w:pPr>
      <w:r w:rsidRPr="0045021E">
        <w:rPr>
          <w:b/>
          <w:bCs/>
          <w:sz w:val="26"/>
          <w:szCs w:val="26"/>
          <w:lang w:val="en-US"/>
        </w:rPr>
        <w:t>Est-ce que cela modifie le plafond indicatif de 150 000 USD pour les ONG locales ?</w:t>
      </w:r>
    </w:p>
    <w:p w14:paraId="3BB8AE18" w14:textId="55952872" w:rsidR="0045021E" w:rsidRPr="0045021E" w:rsidRDefault="0045021E" w:rsidP="0045021E">
      <w:pPr>
        <w:spacing w:before="240" w:after="240" w:line="276" w:lineRule="auto"/>
        <w:rPr>
          <w:lang w:val="en-US"/>
        </w:rPr>
      </w:pPr>
      <w:r w:rsidRPr="0045021E">
        <w:rPr>
          <w:lang w:val="en-US"/>
        </w:rPr>
        <w:t xml:space="preserve">Le plafond </w:t>
      </w:r>
      <w:proofErr w:type="spellStart"/>
      <w:r w:rsidRPr="0045021E">
        <w:rPr>
          <w:lang w:val="en-US"/>
        </w:rPr>
        <w:t>indicatif</w:t>
      </w:r>
      <w:proofErr w:type="spellEnd"/>
      <w:r w:rsidRPr="0045021E">
        <w:rPr>
          <w:lang w:val="en-US"/>
        </w:rPr>
        <w:t xml:space="preserve"> </w:t>
      </w:r>
      <w:proofErr w:type="spellStart"/>
      <w:r w:rsidRPr="0045021E">
        <w:rPr>
          <w:lang w:val="en-US"/>
        </w:rPr>
        <w:t>demeure</w:t>
      </w:r>
      <w:proofErr w:type="spellEnd"/>
      <w:r w:rsidRPr="0045021E">
        <w:rPr>
          <w:lang w:val="en-US"/>
        </w:rPr>
        <w:t xml:space="preserve"> le référentiel général, mais la réserve de localisation (900 000 USD) autorise des augmentations au cas par cas pour les ONG locales qui atteignent les normes de capacité HACT requises.</w:t>
      </w:r>
    </w:p>
    <w:p w14:paraId="08499D25" w14:textId="567D6D8F" w:rsidR="00DC5C14" w:rsidRPr="0045021E" w:rsidRDefault="00000000">
      <w:pPr>
        <w:pStyle w:val="Heading3"/>
        <w:keepNext w:val="0"/>
        <w:keepLines w:val="0"/>
        <w:spacing w:before="280" w:line="276" w:lineRule="auto"/>
        <w:rPr>
          <w:b/>
          <w:color w:val="000000"/>
          <w:sz w:val="26"/>
          <w:szCs w:val="26"/>
        </w:rPr>
      </w:pPr>
      <w:bookmarkStart w:id="21" w:name="_heading=h.xwk8e3anv3ml" w:colFirst="0" w:colLast="0"/>
      <w:bookmarkEnd w:id="21"/>
      <w:r w:rsidRPr="0045021E">
        <w:rPr>
          <w:b/>
          <w:color w:val="000000"/>
          <w:sz w:val="26"/>
          <w:szCs w:val="26"/>
        </w:rPr>
        <w:t>Comment les candidats peuvent-ils se tenir informés ?</w:t>
      </w:r>
    </w:p>
    <w:p w14:paraId="0B1E43BA" w14:textId="77777777" w:rsidR="00DC5C14" w:rsidRPr="00C32847" w:rsidRDefault="00000000">
      <w:pPr>
        <w:spacing w:before="240" w:after="240" w:line="276" w:lineRule="auto"/>
        <w:rPr>
          <w:bCs/>
        </w:rPr>
      </w:pPr>
      <w:r w:rsidRPr="00C32847">
        <w:rPr>
          <w:bCs/>
        </w:rPr>
        <w:lastRenderedPageBreak/>
        <w:t>Les candidats peuvent s'inscrire à la liste de diffusion du NFF pour recevoir des mises à jour sur les appels à propositions, les webinaires et les documents d'orientation.</w:t>
      </w:r>
    </w:p>
    <w:p w14:paraId="0BA15983" w14:textId="563D7634" w:rsidR="00DC5C14" w:rsidRPr="00C32847" w:rsidRDefault="00000000" w:rsidP="00C32847">
      <w:pPr>
        <w:spacing w:before="240" w:after="240" w:line="276" w:lineRule="auto"/>
        <w:rPr>
          <w:bCs/>
          <w:lang w:val="de-DE"/>
        </w:rPr>
      </w:pPr>
      <w:r w:rsidRPr="00C32847">
        <w:rPr>
          <w:bCs/>
          <w:i/>
          <w:lang w:val="de-DE"/>
        </w:rPr>
        <w:t xml:space="preserve">Pour </w:t>
      </w:r>
      <w:proofErr w:type="spellStart"/>
      <w:r w:rsidRPr="00C32847">
        <w:rPr>
          <w:bCs/>
          <w:i/>
          <w:lang w:val="de-DE"/>
        </w:rPr>
        <w:t>vous</w:t>
      </w:r>
      <w:proofErr w:type="spellEnd"/>
      <w:r w:rsidRPr="00C32847">
        <w:rPr>
          <w:bCs/>
          <w:i/>
          <w:lang w:val="de-DE"/>
        </w:rPr>
        <w:t xml:space="preserve"> </w:t>
      </w:r>
      <w:proofErr w:type="spellStart"/>
      <w:r w:rsidRPr="00C32847">
        <w:rPr>
          <w:bCs/>
          <w:i/>
          <w:lang w:val="de-DE"/>
        </w:rPr>
        <w:t>abonner</w:t>
      </w:r>
      <w:proofErr w:type="spellEnd"/>
      <w:r w:rsidRPr="00C32847">
        <w:rPr>
          <w:bCs/>
          <w:i/>
          <w:lang w:val="de-DE"/>
        </w:rPr>
        <w:t xml:space="preserve">, </w:t>
      </w:r>
      <w:proofErr w:type="spellStart"/>
      <w:r w:rsidRPr="00C32847">
        <w:rPr>
          <w:bCs/>
          <w:i/>
          <w:lang w:val="de-DE"/>
        </w:rPr>
        <w:t>envoyez</w:t>
      </w:r>
      <w:proofErr w:type="spellEnd"/>
      <w:r w:rsidRPr="00C32847">
        <w:rPr>
          <w:bCs/>
          <w:i/>
          <w:lang w:val="de-DE"/>
        </w:rPr>
        <w:t xml:space="preserve"> </w:t>
      </w:r>
      <w:proofErr w:type="spellStart"/>
      <w:r w:rsidRPr="00C32847">
        <w:rPr>
          <w:bCs/>
          <w:i/>
          <w:lang w:val="de-DE"/>
        </w:rPr>
        <w:t>un</w:t>
      </w:r>
      <w:proofErr w:type="spellEnd"/>
      <w:r w:rsidRPr="00C32847">
        <w:rPr>
          <w:bCs/>
          <w:i/>
          <w:lang w:val="de-DE"/>
        </w:rPr>
        <w:t xml:space="preserve"> </w:t>
      </w:r>
      <w:proofErr w:type="spellStart"/>
      <w:r w:rsidRPr="00C32847">
        <w:rPr>
          <w:bCs/>
          <w:i/>
          <w:lang w:val="de-DE"/>
        </w:rPr>
        <w:t>e-mail</w:t>
      </w:r>
      <w:proofErr w:type="spellEnd"/>
      <w:r w:rsidRPr="00C32847">
        <w:rPr>
          <w:bCs/>
          <w:i/>
          <w:lang w:val="de-DE"/>
        </w:rPr>
        <w:t xml:space="preserve"> à secretariat.nff@undp.org </w:t>
      </w:r>
      <w:proofErr w:type="spellStart"/>
      <w:r w:rsidRPr="00C32847">
        <w:rPr>
          <w:bCs/>
          <w:i/>
          <w:lang w:val="de-DE"/>
        </w:rPr>
        <w:t>avec</w:t>
      </w:r>
      <w:proofErr w:type="spellEnd"/>
      <w:r w:rsidRPr="00C32847">
        <w:rPr>
          <w:bCs/>
          <w:i/>
          <w:lang w:val="de-DE"/>
        </w:rPr>
        <w:t xml:space="preserve"> </w:t>
      </w:r>
      <w:proofErr w:type="spellStart"/>
      <w:r w:rsidRPr="00C32847">
        <w:rPr>
          <w:bCs/>
          <w:i/>
          <w:lang w:val="de-DE"/>
        </w:rPr>
        <w:t>l’objet</w:t>
      </w:r>
      <w:proofErr w:type="spellEnd"/>
      <w:r w:rsidRPr="00C32847">
        <w:rPr>
          <w:bCs/>
          <w:i/>
          <w:lang w:val="de-DE"/>
        </w:rPr>
        <w:t xml:space="preserve"> « </w:t>
      </w:r>
      <w:proofErr w:type="spellStart"/>
      <w:r w:rsidRPr="00C32847">
        <w:rPr>
          <w:bCs/>
          <w:i/>
          <w:lang w:val="de-DE"/>
        </w:rPr>
        <w:t>Inscription</w:t>
      </w:r>
      <w:proofErr w:type="spellEnd"/>
      <w:r w:rsidRPr="00C32847">
        <w:rPr>
          <w:bCs/>
          <w:i/>
          <w:lang w:val="de-DE"/>
        </w:rPr>
        <w:t xml:space="preserve"> – Liste de </w:t>
      </w:r>
      <w:proofErr w:type="spellStart"/>
      <w:r w:rsidRPr="00C32847">
        <w:rPr>
          <w:bCs/>
          <w:i/>
          <w:lang w:val="de-DE"/>
        </w:rPr>
        <w:t>diffusion</w:t>
      </w:r>
      <w:proofErr w:type="spellEnd"/>
      <w:r w:rsidRPr="00C32847">
        <w:rPr>
          <w:bCs/>
          <w:i/>
          <w:lang w:val="de-DE"/>
        </w:rPr>
        <w:t xml:space="preserve"> du NFF ».</w:t>
      </w:r>
    </w:p>
    <w:p w14:paraId="47F3AFD6" w14:textId="77777777" w:rsidR="00DC5C14" w:rsidRDefault="00000000">
      <w:pPr>
        <w:spacing w:before="280" w:after="280" w:line="276" w:lineRule="auto"/>
        <w:rPr>
          <w:b/>
          <w:sz w:val="36"/>
          <w:szCs w:val="36"/>
        </w:rPr>
      </w:pPr>
      <w:proofErr w:type="spellStart"/>
      <w:r>
        <w:rPr>
          <w:b/>
          <w:sz w:val="36"/>
          <w:szCs w:val="36"/>
        </w:rPr>
        <w:t>Où</w:t>
      </w:r>
      <w:proofErr w:type="spellEnd"/>
      <w:r>
        <w:rPr>
          <w:b/>
          <w:sz w:val="36"/>
          <w:szCs w:val="36"/>
        </w:rPr>
        <w:t xml:space="preserve"> </w:t>
      </w:r>
      <w:proofErr w:type="spellStart"/>
      <w:r>
        <w:rPr>
          <w:b/>
          <w:sz w:val="36"/>
          <w:szCs w:val="36"/>
        </w:rPr>
        <w:t>puis</w:t>
      </w:r>
      <w:proofErr w:type="spellEnd"/>
      <w:r>
        <w:rPr>
          <w:b/>
          <w:sz w:val="36"/>
          <w:szCs w:val="36"/>
        </w:rPr>
        <w:t xml:space="preserve">-je </w:t>
      </w:r>
      <w:proofErr w:type="spellStart"/>
      <w:r>
        <w:rPr>
          <w:b/>
          <w:sz w:val="36"/>
          <w:szCs w:val="36"/>
        </w:rPr>
        <w:t>obtenir</w:t>
      </w:r>
      <w:proofErr w:type="spellEnd"/>
      <w:r>
        <w:rPr>
          <w:b/>
          <w:sz w:val="36"/>
          <w:szCs w:val="36"/>
        </w:rPr>
        <w:t xml:space="preserve"> de l'aide pour ma </w:t>
      </w:r>
      <w:proofErr w:type="gramStart"/>
      <w:r>
        <w:rPr>
          <w:b/>
          <w:sz w:val="36"/>
          <w:szCs w:val="36"/>
        </w:rPr>
        <w:t>candidature ?</w:t>
      </w:r>
      <w:proofErr w:type="gramEnd"/>
    </w:p>
    <w:p w14:paraId="6AAD75E3" w14:textId="77777777" w:rsidR="00DC5C14" w:rsidRDefault="00000000">
      <w:pPr>
        <w:spacing w:before="280" w:after="280" w:line="276" w:lineRule="auto"/>
      </w:pPr>
      <w:r>
        <w:t>Les candidats sont invités à participer aux sessions d’information organisées par le Secrétariat du NFF avant la publication de l’appel à propositions et à contacter l’adresse e-mail du NFF pour obtenir de l’aide sur l’éligibilité, les exigences des consortiums et les questions techniques.</w:t>
      </w:r>
      <w:hyperlink r:id="rId10">
        <w:r w:rsidR="00DC5C14">
          <w:rPr>
            <w:color w:val="0000FF"/>
            <w:u w:val="single"/>
          </w:rPr>
          <w:t>secretariat.nff@undp.org</w:t>
        </w:r>
      </w:hyperlink>
    </w:p>
    <w:p w14:paraId="1B907ACE" w14:textId="77777777" w:rsidR="00DC5C14" w:rsidRDefault="00DC5C14">
      <w:pPr>
        <w:pBdr>
          <w:top w:val="nil"/>
          <w:left w:val="nil"/>
          <w:bottom w:val="nil"/>
          <w:right w:val="nil"/>
          <w:between w:val="nil"/>
        </w:pBdr>
        <w:spacing w:line="240" w:lineRule="auto"/>
        <w:rPr>
          <w:b/>
          <w:color w:val="EE0000"/>
        </w:rPr>
      </w:pPr>
    </w:p>
    <w:sectPr w:rsidR="00DC5C1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72C6A9C-D105-0B41-B211-8E5D88F31151}"/>
    <w:embedBold r:id="rId2" w:fontKey="{2948B292-99F0-1844-BF7D-36DD1D3E440F}"/>
    <w:embedItalic r:id="rId3" w:fontKey="{BC763230-E52F-374A-B1F2-2FAA6BEE113D}"/>
  </w:font>
  <w:font w:name="Noto Sans Symbols">
    <w:altName w:val="Calibri"/>
    <w:panose1 w:val="020B0604020202020204"/>
    <w:charset w:val="00"/>
    <w:family w:val="auto"/>
    <w:pitch w:val="default"/>
    <w:embedRegular r:id="rId4" w:fontKey="{EECD0C21-672B-BC44-BC38-69B408C5C9C3}"/>
  </w:font>
  <w:font w:name="Courier New">
    <w:panose1 w:val="02070309020205020404"/>
    <w:charset w:val="00"/>
    <w:family w:val="modern"/>
    <w:pitch w:val="fixed"/>
    <w:sig w:usb0="E0002EFF" w:usb1="C0007843" w:usb2="00000009" w:usb3="00000000" w:csb0="000001FF" w:csb1="00000000"/>
    <w:embedRegular r:id="rId5" w:fontKey="{9CEFBD95-7564-FC41-9D92-DE7AE4BEF0BA}"/>
  </w:font>
  <w:font w:name="Aptos">
    <w:panose1 w:val="020B0004020202020204"/>
    <w:charset w:val="00"/>
    <w:family w:val="swiss"/>
    <w:pitch w:val="variable"/>
    <w:sig w:usb0="20000287" w:usb1="00000003" w:usb2="00000000" w:usb3="00000000" w:csb0="0000019F" w:csb1="00000000"/>
    <w:embedRegular r:id="rId6" w:fontKey="{E5D7B2C7-B466-6D41-8620-5B2AED269AE9}"/>
    <w:embedBold r:id="rId7" w:fontKey="{13A77E42-33D3-AA4D-A9B4-8FE358A216FE}"/>
    <w:embedItalic r:id="rId8" w:fontKey="{13C99808-4265-D349-9A92-CA71E5BBBC19}"/>
  </w:font>
  <w:font w:name="Play">
    <w:charset w:val="00"/>
    <w:family w:val="auto"/>
    <w:pitch w:val="default"/>
    <w:embedRegular r:id="rId9" w:fontKey="{C73ECA9C-BBB6-3549-8746-6825FEF061EC}"/>
    <w:embedBold r:id="rId10" w:fontKey="{F08178AC-4ACE-C642-AA91-C639AED7F54B}"/>
  </w:font>
  <w:font w:name="Aptos Display">
    <w:panose1 w:val="020B0004020202020204"/>
    <w:charset w:val="00"/>
    <w:family w:val="swiss"/>
    <w:pitch w:val="variable"/>
    <w:sig w:usb0="20000287" w:usb1="00000003" w:usb2="00000000" w:usb3="00000000" w:csb0="0000019F" w:csb1="00000000"/>
    <w:embedRegular r:id="rId11" w:fontKey="{1B853E45-6039-FF48-8DAC-CAF23212A8A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B65A9"/>
    <w:multiLevelType w:val="multilevel"/>
    <w:tmpl w:val="A5983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3656895"/>
    <w:multiLevelType w:val="multilevel"/>
    <w:tmpl w:val="F0A8ED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5BE2965"/>
    <w:multiLevelType w:val="multilevel"/>
    <w:tmpl w:val="87CE77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016750F"/>
    <w:multiLevelType w:val="multilevel"/>
    <w:tmpl w:val="271CE8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1595EE8"/>
    <w:multiLevelType w:val="multilevel"/>
    <w:tmpl w:val="45D0B3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6E824128"/>
    <w:multiLevelType w:val="multilevel"/>
    <w:tmpl w:val="C10C8C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2520E7C"/>
    <w:multiLevelType w:val="multilevel"/>
    <w:tmpl w:val="D166F5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21272138">
    <w:abstractNumId w:val="4"/>
  </w:num>
  <w:num w:numId="2" w16cid:durableId="409162157">
    <w:abstractNumId w:val="0"/>
  </w:num>
  <w:num w:numId="3" w16cid:durableId="293878564">
    <w:abstractNumId w:val="6"/>
  </w:num>
  <w:num w:numId="4" w16cid:durableId="1700398552">
    <w:abstractNumId w:val="1"/>
  </w:num>
  <w:num w:numId="5" w16cid:durableId="1553928729">
    <w:abstractNumId w:val="2"/>
  </w:num>
  <w:num w:numId="6" w16cid:durableId="1043600649">
    <w:abstractNumId w:val="3"/>
  </w:num>
  <w:num w:numId="7" w16cid:durableId="20079707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C14"/>
    <w:rsid w:val="0045021E"/>
    <w:rsid w:val="00707406"/>
    <w:rsid w:val="00931AB0"/>
    <w:rsid w:val="00C32847"/>
    <w:rsid w:val="00DC5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8A12F8C"/>
  <w15:docId w15:val="{C89EE07E-DA7D-2349-91A4-8617E6C44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A96C7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6C7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6C7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A96C75"/>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rsid w:val="00A96C75"/>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rsid w:val="00A96C75"/>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A96C75"/>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A96C75"/>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A96C75"/>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A96C75"/>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A96C75"/>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A96C75"/>
    <w:rPr>
      <w:rFonts w:eastAsiaTheme="majorEastAsia" w:cstheme="majorBidi"/>
      <w:color w:val="272727" w:themeColor="text1" w:themeTint="D8"/>
      <w:lang w:val="en-GB"/>
    </w:rPr>
  </w:style>
  <w:style w:type="character" w:customStyle="1" w:styleId="TitleChar">
    <w:name w:val="Title Char"/>
    <w:basedOn w:val="DefaultParagraphFont"/>
    <w:link w:val="Title"/>
    <w:uiPriority w:val="10"/>
    <w:rsid w:val="00A96C75"/>
    <w:rPr>
      <w:rFonts w:asciiTheme="majorHAnsi" w:eastAsiaTheme="majorEastAsia" w:hAnsiTheme="majorHAnsi" w:cstheme="majorBidi"/>
      <w:spacing w:val="-10"/>
      <w:kern w:val="28"/>
      <w:sz w:val="56"/>
      <w:szCs w:val="56"/>
      <w:lang w:val="en-GB"/>
    </w:rPr>
  </w:style>
  <w:style w:type="character" w:customStyle="1" w:styleId="SubtitleChar">
    <w:name w:val="Subtitle Char"/>
    <w:basedOn w:val="DefaultParagraphFont"/>
    <w:link w:val="Subtitle"/>
    <w:uiPriority w:val="11"/>
    <w:rsid w:val="00A96C75"/>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A96C75"/>
    <w:pPr>
      <w:spacing w:before="160"/>
      <w:jc w:val="center"/>
    </w:pPr>
    <w:rPr>
      <w:i/>
      <w:iCs/>
      <w:color w:val="404040" w:themeColor="text1" w:themeTint="BF"/>
    </w:rPr>
  </w:style>
  <w:style w:type="character" w:customStyle="1" w:styleId="QuoteChar">
    <w:name w:val="Quote Char"/>
    <w:basedOn w:val="DefaultParagraphFont"/>
    <w:link w:val="Quote"/>
    <w:uiPriority w:val="29"/>
    <w:rsid w:val="00A96C75"/>
    <w:rPr>
      <w:i/>
      <w:iCs/>
      <w:color w:val="404040" w:themeColor="text1" w:themeTint="BF"/>
      <w:lang w:val="en-GB"/>
    </w:rPr>
  </w:style>
  <w:style w:type="paragraph" w:styleId="ListParagraph">
    <w:name w:val="List Paragraph"/>
    <w:basedOn w:val="Normal"/>
    <w:uiPriority w:val="34"/>
    <w:qFormat/>
    <w:rsid w:val="00A96C75"/>
    <w:pPr>
      <w:ind w:left="720"/>
      <w:contextualSpacing/>
    </w:pPr>
  </w:style>
  <w:style w:type="character" w:styleId="IntenseEmphasis">
    <w:name w:val="Intense Emphasis"/>
    <w:basedOn w:val="DefaultParagraphFont"/>
    <w:uiPriority w:val="21"/>
    <w:qFormat/>
    <w:rsid w:val="00A96C75"/>
    <w:rPr>
      <w:i/>
      <w:iCs/>
      <w:color w:val="0F4761" w:themeColor="accent1" w:themeShade="BF"/>
    </w:rPr>
  </w:style>
  <w:style w:type="paragraph" w:styleId="IntenseQuote">
    <w:name w:val="Intense Quote"/>
    <w:basedOn w:val="Normal"/>
    <w:next w:val="Normal"/>
    <w:link w:val="IntenseQuoteChar"/>
    <w:uiPriority w:val="30"/>
    <w:qFormat/>
    <w:rsid w:val="00A96C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96C75"/>
    <w:rPr>
      <w:i/>
      <w:iCs/>
      <w:color w:val="0F4761" w:themeColor="accent1" w:themeShade="BF"/>
      <w:lang w:val="en-GB"/>
    </w:rPr>
  </w:style>
  <w:style w:type="character" w:styleId="IntenseReference">
    <w:name w:val="Intense Reference"/>
    <w:basedOn w:val="DefaultParagraphFont"/>
    <w:uiPriority w:val="32"/>
    <w:qFormat/>
    <w:rsid w:val="00A96C75"/>
    <w:rPr>
      <w:b/>
      <w:bCs/>
      <w:smallCaps/>
      <w:color w:val="0F4761" w:themeColor="accent1" w:themeShade="BF"/>
      <w:spacing w:val="5"/>
    </w:rPr>
  </w:style>
  <w:style w:type="paragraph" w:customStyle="1" w:styleId="p1">
    <w:name w:val="p1"/>
    <w:basedOn w:val="Normal"/>
    <w:rsid w:val="00A96C75"/>
    <w:pPr>
      <w:spacing w:before="100" w:beforeAutospacing="1" w:after="100" w:afterAutospacing="1" w:line="240" w:lineRule="auto"/>
    </w:pPr>
    <w:rPr>
      <w:rFonts w:ascii="Times New Roman" w:eastAsia="Times New Roman" w:hAnsi="Times New Roman" w:cs="Times New Roman"/>
      <w:lang w:val="en-US"/>
    </w:rPr>
  </w:style>
  <w:style w:type="paragraph" w:customStyle="1" w:styleId="p2">
    <w:name w:val="p2"/>
    <w:basedOn w:val="Normal"/>
    <w:rsid w:val="006C48A2"/>
    <w:pPr>
      <w:spacing w:before="100" w:beforeAutospacing="1" w:after="100" w:afterAutospacing="1" w:line="240" w:lineRule="auto"/>
    </w:pPr>
    <w:rPr>
      <w:rFonts w:ascii="Times New Roman" w:eastAsia="Times New Roman" w:hAnsi="Times New Roman" w:cs="Times New Roman"/>
      <w:lang w:val="en-US"/>
    </w:rPr>
  </w:style>
  <w:style w:type="paragraph" w:styleId="NormalWeb">
    <w:name w:val="Normal (Web)"/>
    <w:basedOn w:val="Normal"/>
    <w:uiPriority w:val="99"/>
    <w:unhideWhenUsed/>
    <w:rsid w:val="00C77B33"/>
    <w:pPr>
      <w:spacing w:before="100" w:beforeAutospacing="1" w:after="100" w:afterAutospacing="1" w:line="240" w:lineRule="auto"/>
    </w:pPr>
    <w:rPr>
      <w:rFonts w:ascii="Times New Roman" w:eastAsia="Times New Roman" w:hAnsi="Times New Roman" w:cs="Times New Roman"/>
      <w:lang w:val="en-US"/>
    </w:rPr>
  </w:style>
  <w:style w:type="character" w:customStyle="1" w:styleId="s1">
    <w:name w:val="s1"/>
    <w:basedOn w:val="DefaultParagraphFont"/>
    <w:rsid w:val="00095202"/>
  </w:style>
  <w:style w:type="paragraph" w:customStyle="1" w:styleId="p3">
    <w:name w:val="p3"/>
    <w:basedOn w:val="Normal"/>
    <w:rsid w:val="00095202"/>
    <w:pPr>
      <w:spacing w:before="100" w:beforeAutospacing="1" w:after="100" w:afterAutospacing="1" w:line="240" w:lineRule="auto"/>
    </w:pPr>
    <w:rPr>
      <w:rFonts w:ascii="Times New Roman" w:eastAsia="Times New Roman" w:hAnsi="Times New Roman" w:cs="Times New Roman"/>
      <w:lang w:val="en-US"/>
    </w:rPr>
  </w:style>
  <w:style w:type="character" w:customStyle="1" w:styleId="s2">
    <w:name w:val="s2"/>
    <w:basedOn w:val="DefaultParagraphFont"/>
    <w:rsid w:val="00095202"/>
  </w:style>
  <w:style w:type="character" w:styleId="Hyperlink">
    <w:name w:val="Hyperlink"/>
    <w:basedOn w:val="DefaultParagraphFont"/>
    <w:uiPriority w:val="99"/>
    <w:unhideWhenUsed/>
    <w:rsid w:val="00095202"/>
    <w:rPr>
      <w:color w:val="0000FF"/>
      <w:u w:val="single"/>
    </w:rPr>
  </w:style>
  <w:style w:type="paragraph" w:customStyle="1" w:styleId="p4">
    <w:name w:val="p4"/>
    <w:basedOn w:val="Normal"/>
    <w:rsid w:val="00095202"/>
    <w:pPr>
      <w:spacing w:before="100" w:beforeAutospacing="1" w:after="100" w:afterAutospacing="1" w:line="240" w:lineRule="auto"/>
    </w:pPr>
    <w:rPr>
      <w:rFonts w:ascii="Times New Roman" w:eastAsia="Times New Roman" w:hAnsi="Times New Roman" w:cs="Times New Roman"/>
      <w:lang w:val="en-US"/>
    </w:rPr>
  </w:style>
  <w:style w:type="character" w:customStyle="1" w:styleId="s3">
    <w:name w:val="s3"/>
    <w:basedOn w:val="DefaultParagraphFont"/>
    <w:rsid w:val="00095202"/>
  </w:style>
  <w:style w:type="character" w:styleId="UnresolvedMention">
    <w:name w:val="Unresolved Mention"/>
    <w:basedOn w:val="DefaultParagraphFont"/>
    <w:uiPriority w:val="99"/>
    <w:semiHidden/>
    <w:unhideWhenUsed/>
    <w:rsid w:val="00A15520"/>
    <w:rPr>
      <w:color w:val="605E5C"/>
      <w:shd w:val="clear" w:color="auto" w:fill="E1DFDD"/>
    </w:rPr>
  </w:style>
  <w:style w:type="character" w:styleId="Strong">
    <w:name w:val="Strong"/>
    <w:basedOn w:val="DefaultParagraphFont"/>
    <w:uiPriority w:val="22"/>
    <w:qFormat/>
    <w:rsid w:val="003E6BD2"/>
    <w:rPr>
      <w:b/>
      <w:bCs/>
    </w:rPr>
  </w:style>
  <w:style w:type="character" w:customStyle="1" w:styleId="apple-converted-space">
    <w:name w:val="apple-converted-space"/>
    <w:basedOn w:val="DefaultParagraphFont"/>
    <w:rsid w:val="003E6BD2"/>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ur02.safelinks.protection.outlook.com/?url=https%3A%2F%2Fwww.undp.org%2Fafrica%2Fwaca%2Fpublications%2Fcall-proposals-stage-1-nexus-funding-facility&amp;data=05%7C02%7Cfrowein%40unhcr.org%7C6ca98acc59c24043cff208de1aec51d0%7Ce5c37981666441348a0c6543d2af80be%7C0%7C0%7C638977799465186319%7CUnknown%7CTWFpbGZsb3d8eyJFbXB0eU1hcGkiOnRydWUsIlYiOiIwLjAuMDAwMCIsIlAiOiJXaW4zMiIsIkFOIjoiTWFpbCIsIldUIjoyfQ%3D%3D%7C0%7C%7C%7C&amp;sdata=w8mzvJexAfV2eCH2cwLU5x%2FPWJ%2FBib3s02E9FkGzdbU%3D&amp;reserved=0" TargetMode="Externa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hyperlink" Target="https://www.undp.org/africa/press-releases/launch-special-multi-partner-delivery-fund-and-nexus-funding-facility-lake-chad-basin-region"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hyperlink" Target="mailto:secretariat.nff@undp.org" TargetMode="External"/><Relationship Id="rId4" Type="http://schemas.openxmlformats.org/officeDocument/2006/relationships/settings" Target="settings.xml"/><Relationship Id="rId9" Type="http://schemas.openxmlformats.org/officeDocument/2006/relationships/hyperlink" Target="https://eur02.safelinks.protection.outlook.com/?url=https%3A%2F%2Fwww.undp.org%2Ffr%2Fafrica%2Fwaca%2Fpublications%2Fappel-propositions-phase-1-mecanisme-de-financement-nexus-nff&amp;data=05%7C02%7Cfrowein%40unhcr.org%7C6ca98acc59c24043cff208de1aec51d0%7Ce5c37981666441348a0c6543d2af80be%7C0%7C0%7C638977799465220839%7CUnknown%7CTWFpbGZsb3d8eyJFbXB0eU1hcGkiOnRydWUsIlYiOiIwLjAuMDAwMCIsIlAiOiJXaW4zMiIsIkFOIjoiTWFpbCIsIldUIjoyfQ%3D%3D%7C0%7C%7C%7C&amp;sdata=kGutJ8OKsJ6QC5hqI2%2Buew1GXg%2Fd5lYISuDbKmieiJU%3D&amp;reserved=0" TargetMode="Externa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XzKDAzifvJ9LlxwYv/htPbf1qg==">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678463A96FCE0F469DCD58F215C57F6E" ma:contentTypeVersion="8" ma:contentTypeDescription="Create a new document." ma:contentTypeScope="" ma:versionID="3400a0cb52524459165f4a830590e582">
  <xsd:schema xmlns:xsd="http://www.w3.org/2001/XMLSchema" xmlns:xs="http://www.w3.org/2001/XMLSchema" xmlns:p="http://schemas.microsoft.com/office/2006/metadata/properties" xmlns:ns2="7a4e1828-ff2b-46dd-afef-088d628d16d9" targetNamespace="http://schemas.microsoft.com/office/2006/metadata/properties" ma:root="true" ma:fieldsID="3368f88929ad4ba2350960ca4100b66b" ns2:_="">
    <xsd:import namespace="7a4e1828-ff2b-46dd-afef-088d628d1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4e1828-ff2b-46dd-afef-088d628d16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5f3f4cc-79b9-4d17-b8fa-dd7577b1fbe8"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a4e1828-ff2b-46dd-afef-088d628d16d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F192824-899E-44C0-9856-E4E7FACD44BC}"/>
</file>

<file path=customXml/itemProps3.xml><?xml version="1.0" encoding="utf-8"?>
<ds:datastoreItem xmlns:ds="http://schemas.openxmlformats.org/officeDocument/2006/customXml" ds:itemID="{8C0541C1-E202-471C-90A8-A8C0F50AA0A1}"/>
</file>

<file path=customXml/itemProps4.xml><?xml version="1.0" encoding="utf-8"?>
<ds:datastoreItem xmlns:ds="http://schemas.openxmlformats.org/officeDocument/2006/customXml" ds:itemID="{CC7EECE0-B8E8-456B-B44A-C7EE240E71B2}"/>
</file>

<file path=docProps/app.xml><?xml version="1.0" encoding="utf-8"?>
<Properties xmlns="http://schemas.openxmlformats.org/officeDocument/2006/extended-properties" xmlns:vt="http://schemas.openxmlformats.org/officeDocument/2006/docPropsVTypes">
  <Template>Normal.dotm</Template>
  <TotalTime>1</TotalTime>
  <Pages>10</Pages>
  <Words>2490</Words>
  <Characters>14198</Characters>
  <Application>Microsoft Office Word</Application>
  <DocSecurity>0</DocSecurity>
  <Lines>118</Lines>
  <Paragraphs>33</Paragraphs>
  <ScaleCrop>false</ScaleCrop>
  <Company/>
  <LinksUpToDate>false</LinksUpToDate>
  <CharactersWithSpaces>16655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Sebastian Frowein</dc:creator>
  <cp:lastModifiedBy>Sebastian Frowein</cp:lastModifiedBy>
  <cp:revision>2</cp:revision>
  <dcterms:created xsi:type="dcterms:W3CDTF">2025-11-05T18:20:00Z</dcterms:created>
  <dcterms:modified xsi:type="dcterms:W3CDTF">2025-11-05T18:20:00Z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0x010100678463A96FCE0F469DCD58F215C57F6E</vt:lpwstr>
  </property>
  <property fmtid="{D5CDD505-2E9C-101B-9397-08002B2CF9AE}" pid="3" name="MediaServiceImageTags">
    <vt:lpwstr/>
  </property>
</Properties>
</file>